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Информационная карта </w:t>
      </w:r>
    </w:p>
    <w:p w14:paraId="05000000">
      <w:pPr>
        <w:keepNext w:val="1"/>
        <w:keepLines w:val="1"/>
        <w:widowControl w:val="0"/>
        <w:spacing w:after="0" w:line="326" w:lineRule="exact"/>
        <w:ind w:right="30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показателей смотра-конкурса на лучшее состояние условий и охраны труда в организациях и на предприятиях Оконешниковского муниципального района Омской области по итогам 2024 года</w:t>
      </w:r>
    </w:p>
    <w:p w14:paraId="06000000">
      <w:pPr>
        <w:keepNext w:val="1"/>
        <w:keepLines w:val="1"/>
        <w:widowControl w:val="0"/>
        <w:spacing w:after="0" w:line="326" w:lineRule="exact"/>
        <w:ind w:right="30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</w:t>
      </w:r>
    </w:p>
    <w:p w14:paraId="07000000">
      <w:pPr>
        <w:keepNext w:val="1"/>
        <w:keepLines w:val="1"/>
        <w:widowControl w:val="0"/>
        <w:spacing w:after="0" w:line="326" w:lineRule="exact"/>
        <w:ind w:right="301"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Полное наименование организации, без сокращений</w:t>
      </w:r>
    </w:p>
    <w:p w14:paraId="08000000">
      <w:pPr>
        <w:keepNext w:val="1"/>
        <w:keepLines w:val="1"/>
        <w:widowControl w:val="0"/>
        <w:spacing w:after="0" w:line="326" w:lineRule="exact"/>
        <w:ind w:right="30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</w:t>
      </w:r>
    </w:p>
    <w:p w14:paraId="09000000">
      <w:pPr>
        <w:keepNext w:val="1"/>
        <w:keepLines w:val="1"/>
        <w:widowControl w:val="0"/>
        <w:spacing w:after="0" w:line="326" w:lineRule="exact"/>
        <w:ind w:right="301"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подачи информации</w:t>
      </w:r>
    </w:p>
    <w:tbl>
      <w:tblPr>
        <w:tblW w:type="auto" w:w="0"/>
        <w:tblInd w:type="dxa" w:w="-6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5"/>
        <w:gridCol w:w="3780"/>
        <w:gridCol w:w="1106"/>
        <w:gridCol w:w="1106"/>
        <w:gridCol w:w="1106"/>
        <w:gridCol w:w="1245"/>
        <w:gridCol w:w="1245"/>
      </w:tblGrid>
      <w:tr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  <w:p w14:paraId="0B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измерений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за 2024 год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Критерии,</w:t>
            </w:r>
          </w:p>
          <w:p w14:paraId="10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баллы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Результат,</w:t>
            </w:r>
          </w:p>
          <w:p w14:paraId="12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баллы</w:t>
            </w:r>
          </w:p>
          <w:p w14:paraId="13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(заполняется работодателем)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Результат,</w:t>
            </w:r>
          </w:p>
          <w:p w14:paraId="15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баллы</w:t>
            </w:r>
          </w:p>
          <w:p w14:paraId="16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(заполняется рабочей группой)</w:t>
            </w:r>
          </w:p>
        </w:tc>
      </w:tr>
      <w:tr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Среднесписочная численность </w:t>
            </w:r>
            <w:r>
              <w:rPr>
                <w:rFonts w:ascii="Times New Roman" w:hAnsi="Times New Roman"/>
                <w:b w:val="1"/>
                <w:sz w:val="24"/>
              </w:rPr>
              <w:t>работающих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Состояние травматизма на производстве: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0"/>
        </w:trP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число пострадавших на производстве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8"/>
        </w:trP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число дней нетрудоспособности </w:t>
            </w:r>
            <w:r>
              <w:rPr>
                <w:rFonts w:ascii="Times New Roman" w:hAnsi="Times New Roman"/>
                <w:sz w:val="24"/>
              </w:rPr>
              <w:t>пострадавших на производстве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 30 дней (включительно)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35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"-0, 5"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2"/>
        </w:trP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более 30 дней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3C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"-1"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Наличие освобожденного специалиста по охране труда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4A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51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наличие приказа о возложении обязанностей по охране труда </w:t>
            </w:r>
            <w:r>
              <w:rPr>
                <w:rFonts w:ascii="Times New Roman" w:hAnsi="Times New Roman"/>
                <w:b w:val="1"/>
                <w:sz w:val="24"/>
              </w:rPr>
              <w:t>(при численности работников менее 50 человек)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58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наличие оборудованного кабинета по охране труда (уголка по охране труда)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60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Наличие комитетов (комиссий) по охране труда (при численности работников более 10 человек)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8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6E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75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after="0" w:line="28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нет необходимости (для организаций с численностью рабочих менее 10 чел.)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7C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Проведение обучения и проверки знаний работников по охране труда  - </w:t>
            </w:r>
            <w:r>
              <w:rPr>
                <w:rFonts w:ascii="Times New Roman" w:hAnsi="Times New Roman"/>
                <w:sz w:val="24"/>
              </w:rPr>
              <w:t>Указывается число работников, обученных за 3 года (2022, 2023, 2024), т.к. работник должен проходить обучение 1 раз в 3 года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обучен руководитель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8A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обучен специалист, отвечающий за вопросы по охране труда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91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|- обучены работники</w:t>
            </w:r>
          </w:p>
          <w:p w14:paraId="95000000">
            <w:pPr>
              <w:widowControl w:val="0"/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-90%-100% человек</w:t>
            </w:r>
          </w:p>
          <w:p w14:paraId="96000000">
            <w:pPr>
              <w:widowControl w:val="0"/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менее 90%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9A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  <w:p w14:paraId="9B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Наличие утвержденных инструкций по охране труда для работников согласно перечню профессий и работ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-100%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A9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нет в наличии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B0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"-0, 5"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B4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Наличие коллективного договора</w:t>
            </w:r>
          </w:p>
          <w:p w14:paraId="B6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B900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BA00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BC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BD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нет необходимости (для ИП, КФХ численностью менее 5 человек)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C4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наличие соглашения (плана мероприятий) по охране труда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CA00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CB00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CD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CE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spacing w:after="0" w:line="23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Своевременное проведение периодических медицинских осмотров</w:t>
            </w:r>
          </w:p>
          <w:p w14:paraId="D3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(рассчитывается 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% = </w:t>
            </w:r>
            <w:r>
              <w:rPr>
                <w:rFonts w:ascii="Times New Roman" w:hAnsi="Times New Roman"/>
                <w:sz w:val="24"/>
              </w:rPr>
              <w:t xml:space="preserve">количество чел. прошедших </w:t>
            </w:r>
            <w:r>
              <w:rPr>
                <w:rFonts w:ascii="Times New Roman" w:hAnsi="Times New Roman"/>
                <w:sz w:val="24"/>
              </w:rPr>
              <w:t>мед</w:t>
            </w:r>
            <w:r>
              <w:rPr>
                <w:rFonts w:ascii="Times New Roman" w:hAnsi="Times New Roman"/>
                <w:sz w:val="24"/>
              </w:rPr>
              <w:t>.о</w:t>
            </w:r>
            <w:r>
              <w:rPr>
                <w:rFonts w:ascii="Times New Roman" w:hAnsi="Times New Roman"/>
                <w:sz w:val="24"/>
              </w:rPr>
              <w:t>смотр</w:t>
            </w:r>
            <w:r>
              <w:rPr>
                <w:rFonts w:ascii="Times New Roman" w:hAnsi="Times New Roman"/>
                <w:sz w:val="24"/>
              </w:rPr>
              <w:t xml:space="preserve"> к общему количеству чел *100)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D7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after="0" w:line="274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Проведение работ по организации контроля и надзора за состоянием производственных зданий и сооружений</w:t>
            </w:r>
            <w:r>
              <w:rPr>
                <w:rFonts w:ascii="Times New Roman" w:hAnsi="Times New Roman"/>
                <w:sz w:val="24"/>
              </w:rPr>
              <w:t xml:space="preserve"> (данный пункт заполняется не зависимо от того находится здание в оперативном управлении или арендовано):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spacing w:after="0" w:line="23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наличие журнала или актов обследования</w:t>
            </w:r>
          </w:p>
          <w:p w14:paraId="E2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E6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отсутствие журнала или актов обследования</w:t>
            </w:r>
          </w:p>
          <w:p w14:paraId="EA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EE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Обеспеченность первичными средствами пожаротушения и их состояние: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наличие огнетушителей, журнала проверки и учета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FC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0"/>
              <w:numPr>
                <w:ilvl w:val="0"/>
                <w:numId w:val="1"/>
              </w:numPr>
              <w:tabs>
                <w:tab w:leader="none" w:pos="130" w:val="left"/>
              </w:tabs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пожарного щита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0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 5"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numPr>
                <w:ilvl w:val="0"/>
                <w:numId w:val="1"/>
              </w:numPr>
              <w:tabs>
                <w:tab w:leader="none" w:pos="134" w:val="left"/>
              </w:tabs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аптечки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0A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 5"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line="18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Проведено мероприятий по охране труд</w:t>
            </w:r>
            <w:r>
              <w:rPr>
                <w:rFonts w:ascii="Times New Roman" w:hAnsi="Times New Roman"/>
                <w:b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семинары, подведение итогов по выполнению соглашения, об</w:t>
            </w:r>
          </w:p>
          <w:p w14:paraId="0F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охране труда в организации, выступление на межведомственных комиссиях, участие в проведении Дня охраны труда)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мероприятия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1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в мероприятии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20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 5"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Проведение специальной оценки рабочих мест по условиям труда</w:t>
            </w:r>
          </w:p>
          <w:p w14:paraId="25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(наличие заключительного акта выполненных работ), наличие декларации соответствия условий труда. 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Общее количество аттестованных рабочих мест (проведена специальная оценка рабочих мест) за 5 лет</w:t>
            </w:r>
          </w:p>
          <w:p w14:paraId="2C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(рассчитывается в % = количество мест, на которых проведена аттестация/ общее количество мест * 100)</w:t>
            </w:r>
          </w:p>
          <w:p w14:paraId="2D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- 100% 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31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-более 50%</w:t>
            </w:r>
          </w:p>
          <w:p w14:paraId="35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3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 5"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-менее 50 % (включительно)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40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   "+0, 2"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14:paraId="44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5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6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7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8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A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B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C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D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E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0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1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2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4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5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6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7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14:paraId="58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A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B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C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D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0"/>
              <w:spacing w:after="0" w:line="245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Обеспеченность работников спецодеждой </w:t>
            </w:r>
            <w:r>
              <w:rPr>
                <w:rFonts w:ascii="Times New Roman" w:hAnsi="Times New Roman"/>
                <w:sz w:val="24"/>
              </w:rPr>
              <w:t xml:space="preserve">(обязательно наличие сертификата качества, карточки учета (ведомости) выдачи </w:t>
            </w:r>
            <w:r>
              <w:rPr>
                <w:rFonts w:ascii="Times New Roman" w:hAnsi="Times New Roman"/>
                <w:sz w:val="24"/>
              </w:rPr>
              <w:t>СИЗ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5F010000">
            <w:pPr>
              <w:widowControl w:val="0"/>
              <w:spacing w:after="0" w:line="245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</w:p>
          <w:p w14:paraId="60010000">
            <w:pPr>
              <w:widowControl w:val="0"/>
              <w:spacing w:after="0" w:line="245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-Да</w:t>
            </w:r>
          </w:p>
          <w:p w14:paraId="67010000">
            <w:pPr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(рассчитывается в </w:t>
            </w:r>
            <w:r>
              <w:rPr>
                <w:rFonts w:ascii="Times New Roman" w:hAnsi="Times New Roman"/>
                <w:b w:val="1"/>
                <w:sz w:val="24"/>
              </w:rPr>
              <w:t>% =</w:t>
            </w:r>
            <w:r>
              <w:rPr>
                <w:rFonts w:ascii="Times New Roman" w:hAnsi="Times New Roman"/>
                <w:sz w:val="24"/>
              </w:rPr>
              <w:t xml:space="preserve">, количество чел, которым </w:t>
            </w:r>
            <w:r>
              <w:rPr>
                <w:rFonts w:ascii="Times New Roman" w:hAnsi="Times New Roman"/>
                <w:sz w:val="24"/>
              </w:rPr>
              <w:t>выданы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СИЗ / количество чел, которым предусмотрена выдача СИЗ  </w:t>
            </w:r>
            <w:r>
              <w:rPr>
                <w:rFonts w:ascii="Times New Roman" w:hAnsi="Times New Roman"/>
                <w:b w:val="1"/>
                <w:sz w:val="24"/>
              </w:rPr>
              <w:t xml:space="preserve">* </w:t>
            </w:r>
            <w:r>
              <w:rPr>
                <w:rFonts w:ascii="Times New Roman" w:hAnsi="Times New Roman"/>
                <w:sz w:val="24"/>
              </w:rPr>
              <w:t>100)</w:t>
            </w:r>
          </w:p>
          <w:p w14:paraId="68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- 100% -  </w:t>
            </w:r>
          </w:p>
          <w:p w14:paraId="69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50%</w:t>
            </w:r>
          </w:p>
          <w:p w14:paraId="6A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50 % (включительно)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6E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6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70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71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  <w:p w14:paraId="72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 5"</w:t>
            </w:r>
          </w:p>
          <w:p w14:paraId="7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"+0, 3"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7A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83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Нет необходимости (для организаций, где </w:t>
            </w:r>
            <w:r>
              <w:rPr>
                <w:rFonts w:ascii="Times New Roman" w:hAnsi="Times New Roman"/>
                <w:sz w:val="24"/>
              </w:rPr>
              <w:t>СИЗ</w:t>
            </w:r>
            <w:r>
              <w:rPr>
                <w:rFonts w:ascii="Times New Roman" w:hAnsi="Times New Roman"/>
                <w:sz w:val="24"/>
              </w:rPr>
              <w:t xml:space="preserve"> не предусмотрены)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81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83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внедрение модельной корпоративной программы "Здоровье на рабочем месте",  </w:t>
            </w:r>
            <w:r>
              <w:rPr>
                <w:rFonts w:ascii="Times New Roman" w:hAnsi="Times New Roman"/>
                <w:sz w:val="24"/>
              </w:rPr>
              <w:t>оценка эффективности реализации программы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87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88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8A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8B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88"/>
        </w:trP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разработка </w:t>
            </w:r>
            <w:r>
              <w:rPr>
                <w:rFonts w:ascii="Times New Roman" w:hAnsi="Times New Roman"/>
                <w:b w:val="1"/>
                <w:sz w:val="24"/>
              </w:rPr>
              <w:t>програмы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 "</w:t>
            </w:r>
            <w:r>
              <w:rPr>
                <w:rFonts w:ascii="Times New Roman" w:hAnsi="Times New Roman"/>
                <w:b w:val="1"/>
                <w:sz w:val="24"/>
              </w:rPr>
              <w:t>Visionzero</w:t>
            </w:r>
            <w:r>
              <w:rPr>
                <w:rFonts w:ascii="Times New Roman" w:hAnsi="Times New Roman"/>
                <w:b w:val="1"/>
                <w:sz w:val="24"/>
              </w:rPr>
              <w:t>" ("нулевого травматизма")</w:t>
            </w:r>
            <w:r>
              <w:rPr>
                <w:rFonts w:ascii="Times New Roman" w:hAnsi="Times New Roman"/>
                <w:sz w:val="24"/>
              </w:rPr>
              <w:t>, оценка эффективности реализации программы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spacing w:after="0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91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92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94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95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- проведение оценки профессиональных рисков</w:t>
            </w:r>
            <w:r>
              <w:rPr>
                <w:rFonts w:ascii="Times New Roman" w:hAnsi="Times New Roman"/>
                <w:sz w:val="24"/>
              </w:rPr>
              <w:t>, их актуализация.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after="0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9C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9D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9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  <w:p w14:paraId="A0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- наличие порядка учета                                         микроповреждений;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0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A7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A8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AA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AB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64"/>
        </w:trPr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after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-наличие журнала учета микроповреждений.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after="0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B2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B3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B5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B6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112"/>
        </w:trPr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keepNext w:val="1"/>
              <w:keepLines w:val="1"/>
              <w:widowControl w:val="0"/>
              <w:spacing w:after="0" w:line="278" w:lineRule="exact"/>
              <w:ind w:firstLine="0" w:left="0" w:right="0"/>
              <w:jc w:val="both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Предоставление отчетности по вопросам охраны труд</w:t>
            </w:r>
            <w:r>
              <w:rPr>
                <w:rFonts w:ascii="Times New Roman" w:hAnsi="Times New Roman"/>
                <w:b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участие в ежегодном мониторинге по охране труда):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numPr>
                <w:ilvl w:val="0"/>
                <w:numId w:val="2"/>
              </w:numPr>
              <w:tabs>
                <w:tab w:leader="none" w:pos="130" w:val="left"/>
              </w:tabs>
              <w:spacing w:after="0" w:line="278" w:lineRule="exact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формы</w:t>
            </w:r>
          </w:p>
          <w:p w14:paraId="C1010000">
            <w:pPr>
              <w:widowControl w:val="0"/>
              <w:tabs>
                <w:tab w:leader="none" w:pos="130" w:val="left"/>
              </w:tabs>
              <w:spacing w:after="0" w:line="278" w:lineRule="exact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- 1  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C4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C5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C7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C8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keepNext w:val="1"/>
              <w:keepLines w:val="1"/>
              <w:widowControl w:val="0"/>
              <w:spacing w:after="0" w:line="278" w:lineRule="exact"/>
              <w:ind w:firstLine="0" w:left="0" w:right="0"/>
              <w:jc w:val="both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Своевременное уведомление об изменениях в показателях мониторинга в течение года </w:t>
            </w:r>
            <w:r>
              <w:rPr>
                <w:rFonts w:ascii="Times New Roman" w:hAnsi="Times New Roman"/>
                <w:b w:val="1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numPr>
                <w:ilvl w:val="0"/>
                <w:numId w:val="3"/>
              </w:numPr>
              <w:tabs>
                <w:tab w:leader="none" w:pos="134" w:val="left"/>
              </w:tabs>
              <w:spacing w:after="0" w:line="278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обучению работников;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D5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D6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D8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D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0"/>
              <w:numPr>
                <w:ilvl w:val="0"/>
                <w:numId w:val="3"/>
              </w:numPr>
              <w:tabs>
                <w:tab w:leader="none" w:pos="134" w:val="left"/>
              </w:tabs>
              <w:spacing w:after="0" w:line="278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проведению специальной оценки рабочих мест (предоставление копии сводной ведомости);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DF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E0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E2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E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spacing w:after="0" w:line="283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наличию несчастных случаев в организации (предоставление </w:t>
            </w:r>
            <w:r>
              <w:rPr>
                <w:rFonts w:ascii="Times New Roman" w:hAnsi="Times New Roman"/>
                <w:sz w:val="24"/>
              </w:rPr>
              <w:t>копии акта Н – 1)</w:t>
            </w:r>
          </w:p>
          <w:p w14:paraId="E7010000">
            <w:pPr>
              <w:spacing w:after="0" w:line="283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отсутствие несчастных случаев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EA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EB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EC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EE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E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  <w:p w14:paraId="F0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F1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F2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F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</w:tbl>
    <w:p w14:paraId="F601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sectPr>
      <w:headerReference r:id="rId1" w:type="default"/>
      <w:type w:val="continuous"/>
      <w:pgSz w:h="16838" w:orient="portrait" w:w="11906"/>
      <w:pgMar w:bottom="1134" w:footer="708" w:header="708" w:left="1134" w:right="709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 w:firstLine="0" w:left="0" w:right="0"/>
      <w:jc w:val="center"/>
      <w:rPr>
        <w:rFonts w:ascii="Times New Roman" w:hAnsi="Times New Roman"/>
      </w:rPr>
    </w:pPr>
  </w:p>
  <w:p w14:paraId="03000000">
    <w:pPr>
      <w:pStyle w:val="Style_1"/>
      <w:ind w:firstLine="0" w:left="0" w:right="0"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/>
      <w:jc w:val="left"/>
    </w:pPr>
    <w:rPr>
      <w:rFonts w:ascii="Calibri" w:hAnsi="Calibri"/>
      <w:color w:val="000000"/>
      <w:sz w:val="22"/>
    </w:rPr>
  </w:style>
  <w:style w:default="1" w:styleId="Style_2_ch" w:type="character">
    <w:name w:val="Normal"/>
    <w:link w:val="Style_2"/>
    <w:rPr>
      <w:rFonts w:ascii="Calibri" w:hAnsi="Calibri"/>
      <w:color w:val="000000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ind/>
      <w:jc w:val="left"/>
    </w:pPr>
    <w:rPr>
      <w:rFonts w:ascii="Times New Roman" w:hAnsi="Times New Roman"/>
      <w:color w:val="000000"/>
      <w:sz w:val="24"/>
    </w:rPr>
  </w:style>
  <w:style w:styleId="Style_4_ch" w:type="character">
    <w:name w:val="ConsPlusNormal"/>
    <w:link w:val="Style_4"/>
    <w:rPr>
      <w:rFonts w:ascii="Times New Roman" w:hAnsi="Times New Roman"/>
      <w:color w:val="000000"/>
      <w:sz w:val="24"/>
    </w:rPr>
  </w:style>
  <w:style w:styleId="Style_5" w:type="paragraph">
    <w:name w:val="Основной текст"/>
    <w:basedOn w:val="Style_2"/>
    <w:link w:val="Style_5_ch"/>
    <w:pPr>
      <w:spacing w:after="140"/>
      <w:ind/>
      <w:jc w:val="left"/>
    </w:pPr>
  </w:style>
  <w:style w:styleId="Style_5_ch" w:type="character">
    <w:name w:val="Основной текст"/>
    <w:basedOn w:val="Style_2_ch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ConsPlusDocList"/>
    <w:link w:val="Style_8_ch"/>
    <w:pPr>
      <w:widowControl w:val="0"/>
      <w:ind/>
      <w:jc w:val="left"/>
    </w:pPr>
    <w:rPr>
      <w:rFonts w:ascii="Tahoma" w:hAnsi="Tahoma"/>
      <w:color w:val="000000"/>
      <w:sz w:val="18"/>
    </w:rPr>
  </w:style>
  <w:style w:styleId="Style_8_ch" w:type="character">
    <w:name w:val="ConsPlusDocList"/>
    <w:link w:val="Style_8"/>
    <w:rPr>
      <w:rFonts w:ascii="Tahoma" w:hAnsi="Tahoma"/>
      <w:color w:val="000000"/>
      <w:sz w:val="1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Style4"/>
    <w:basedOn w:val="Style_2"/>
    <w:link w:val="Style_10_ch"/>
    <w:pPr>
      <w:widowControl w:val="0"/>
      <w:spacing w:line="328" w:lineRule="exact"/>
      <w:ind w:firstLine="684" w:left="0" w:right="0"/>
      <w:jc w:val="both"/>
    </w:pPr>
  </w:style>
  <w:style w:styleId="Style_10_ch" w:type="character">
    <w:name w:val="Style4"/>
    <w:basedOn w:val="Style_2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TitlePage"/>
    <w:link w:val="Style_13_ch"/>
    <w:pPr>
      <w:widowControl w:val="0"/>
      <w:ind/>
      <w:jc w:val="left"/>
    </w:pPr>
    <w:rPr>
      <w:rFonts w:ascii="Tahoma" w:hAnsi="Tahoma"/>
      <w:color w:val="000000"/>
      <w:sz w:val="24"/>
    </w:rPr>
  </w:style>
  <w:style w:styleId="Style_13_ch" w:type="character">
    <w:name w:val="ConsPlusTitlePage"/>
    <w:link w:val="Style_13"/>
    <w:rPr>
      <w:rFonts w:ascii="Tahoma" w:hAnsi="Tahoma"/>
      <w:color w:val="000000"/>
      <w:sz w:val="24"/>
    </w:rPr>
  </w:style>
  <w:style w:styleId="Style_1" w:type="paragraph">
    <w:name w:val="Верхний колонтитул"/>
    <w:basedOn w:val="Style_2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Верхний колонтитул"/>
    <w:basedOn w:val="Style_2_ch"/>
    <w:link w:val="Style_1"/>
  </w:style>
  <w:style w:styleId="Style_14" w:type="paragraph">
    <w:name w:val="Заголовок таблицы"/>
    <w:basedOn w:val="Style_15"/>
    <w:link w:val="Style_14_ch"/>
    <w:pPr>
      <w:ind/>
      <w:jc w:val="center"/>
    </w:pPr>
    <w:rPr>
      <w:b w:val="1"/>
    </w:rPr>
  </w:style>
  <w:style w:styleId="Style_14_ch" w:type="character">
    <w:name w:val="Заголовок таблицы"/>
    <w:basedOn w:val="Style_15_ch"/>
    <w:link w:val="Style_14"/>
    <w:rPr>
      <w:b w:val="1"/>
    </w:rPr>
  </w:style>
  <w:style w:styleId="Style_16" w:type="paragraph">
    <w:name w:val="Интернет-ссылка"/>
    <w:link w:val="Style_16_ch"/>
    <w:rPr>
      <w:color w:val="000080"/>
      <w:u w:color="000000" w:val="single"/>
    </w:rPr>
  </w:style>
  <w:style w:styleId="Style_16_ch" w:type="character">
    <w:name w:val="Интернет-ссылка"/>
    <w:link w:val="Style_16"/>
    <w:rPr>
      <w:color w:val="000080"/>
      <w:u w:color="000000" w:val="single"/>
    </w:rPr>
  </w:style>
  <w:style w:styleId="Style_17" w:type="paragraph">
    <w:name w:val="ConsPlusTextList"/>
    <w:link w:val="Style_17_ch"/>
    <w:pPr>
      <w:widowControl w:val="0"/>
      <w:ind/>
      <w:jc w:val="left"/>
    </w:pPr>
    <w:rPr>
      <w:rFonts w:ascii="Times New Roman" w:hAnsi="Times New Roman"/>
      <w:color w:val="000000"/>
      <w:sz w:val="24"/>
    </w:rPr>
  </w:style>
  <w:style w:styleId="Style_17_ch" w:type="character">
    <w:name w:val="ConsPlusTextList"/>
    <w:link w:val="Style_17"/>
    <w:rPr>
      <w:rFonts w:ascii="Times New Roman" w:hAnsi="Times New Roman"/>
      <w:color w:val="000000"/>
      <w:sz w:val="24"/>
    </w:rPr>
  </w:style>
  <w:style w:styleId="Style_18" w:type="paragraph">
    <w:name w:val="ConsPlusCell"/>
    <w:link w:val="Style_18_ch"/>
    <w:pPr>
      <w:widowControl w:val="0"/>
      <w:ind/>
      <w:jc w:val="left"/>
    </w:pPr>
    <w:rPr>
      <w:rFonts w:ascii="Courier New" w:hAnsi="Courier New"/>
      <w:color w:val="000000"/>
      <w:sz w:val="20"/>
    </w:rPr>
  </w:style>
  <w:style w:styleId="Style_18_ch" w:type="character">
    <w:name w:val="ConsPlusCell"/>
    <w:link w:val="Style_18"/>
    <w:rPr>
      <w:rFonts w:ascii="Courier New" w:hAnsi="Courier New"/>
      <w:color w:val="000000"/>
      <w:sz w:val="20"/>
    </w:rPr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Колонтитул"/>
    <w:basedOn w:val="Style_2"/>
    <w:link w:val="Style_20_ch"/>
    <w:pPr>
      <w:ind/>
      <w:jc w:val="left"/>
    </w:pPr>
  </w:style>
  <w:style w:styleId="Style_20_ch" w:type="character">
    <w:name w:val="Колонтитул"/>
    <w:basedOn w:val="Style_2_ch"/>
    <w:link w:val="Style_20"/>
  </w:style>
  <w:style w:styleId="Style_21" w:type="paragraph">
    <w:name w:val="Верхний и нижний колонтитулы"/>
    <w:basedOn w:val="Style_2"/>
    <w:link w:val="Style_21_ch"/>
    <w:pPr>
      <w:ind/>
      <w:jc w:val="left"/>
    </w:pPr>
  </w:style>
  <w:style w:styleId="Style_21_ch" w:type="character">
    <w:name w:val="Верхний и нижний колонтитулы"/>
    <w:basedOn w:val="Style_2_ch"/>
    <w:link w:val="Style_21"/>
  </w:style>
  <w:style w:styleId="Style_22" w:type="paragraph">
    <w:name w:val="ConsPlusTextList1"/>
    <w:link w:val="Style_22_ch"/>
    <w:pPr>
      <w:widowControl w:val="0"/>
      <w:ind/>
      <w:jc w:val="left"/>
    </w:pPr>
    <w:rPr>
      <w:rFonts w:ascii="Times New Roman" w:hAnsi="Times New Roman"/>
      <w:color w:val="000000"/>
      <w:sz w:val="24"/>
    </w:rPr>
  </w:style>
  <w:style w:styleId="Style_22_ch" w:type="character">
    <w:name w:val="ConsPlusTextList1"/>
    <w:link w:val="Style_22"/>
    <w:rPr>
      <w:rFonts w:ascii="Times New Roman" w:hAnsi="Times New Roman"/>
      <w:color w:val="000000"/>
      <w:sz w:val="24"/>
    </w:rPr>
  </w:style>
  <w:style w:styleId="Style_23" w:type="paragraph">
    <w:name w:val="Название"/>
    <w:basedOn w:val="Style_2"/>
    <w:link w:val="Style_23_ch"/>
    <w:pPr>
      <w:spacing w:after="120" w:before="120"/>
      <w:ind/>
      <w:jc w:val="left"/>
    </w:pPr>
    <w:rPr>
      <w:i w:val="1"/>
      <w:sz w:val="24"/>
    </w:rPr>
  </w:style>
  <w:style w:styleId="Style_23_ch" w:type="character">
    <w:name w:val="Название"/>
    <w:basedOn w:val="Style_2_ch"/>
    <w:link w:val="Style_23"/>
    <w:rPr>
      <w:i w:val="1"/>
      <w:sz w:val="24"/>
    </w:rPr>
  </w:style>
  <w:style w:styleId="Style_24" w:type="paragraph">
    <w:name w:val="heading 5"/>
    <w:next w:val="Style_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2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Нижний колонтитул Знак"/>
    <w:basedOn w:val="Style_27"/>
    <w:link w:val="Style_26_ch"/>
    <w:rPr>
      <w:rFonts w:ascii="Times New Roman" w:hAnsi="Times New Roman"/>
      <w:color w:val="000000"/>
      <w:sz w:val="24"/>
    </w:rPr>
  </w:style>
  <w:style w:styleId="Style_26_ch" w:type="character">
    <w:name w:val="Нижний колонтитул Знак"/>
    <w:basedOn w:val="Style_27_ch"/>
    <w:link w:val="Style_26"/>
    <w:rPr>
      <w:rFonts w:ascii="Times New Roman" w:hAnsi="Times New Roman"/>
      <w:color w:val="000000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2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ConsPlusJurTerm"/>
    <w:link w:val="Style_32_ch"/>
    <w:pPr>
      <w:widowControl w:val="0"/>
      <w:ind/>
      <w:jc w:val="left"/>
    </w:pPr>
    <w:rPr>
      <w:rFonts w:ascii="Times New Roman" w:hAnsi="Times New Roman"/>
      <w:color w:val="000000"/>
      <w:sz w:val="24"/>
    </w:rPr>
  </w:style>
  <w:style w:styleId="Style_32_ch" w:type="character">
    <w:name w:val="ConsPlusJurTerm"/>
    <w:link w:val="Style_32"/>
    <w:rPr>
      <w:rFonts w:ascii="Times New Roman" w:hAnsi="Times New Roman"/>
      <w:color w:val="000000"/>
      <w:sz w:val="24"/>
    </w:rPr>
  </w:style>
  <w:style w:styleId="Style_33" w:type="paragraph">
    <w:name w:val="toc 9"/>
    <w:next w:val="Style_2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Указатель"/>
    <w:basedOn w:val="Style_2"/>
    <w:link w:val="Style_34_ch"/>
    <w:pPr>
      <w:ind/>
      <w:jc w:val="left"/>
    </w:pPr>
  </w:style>
  <w:style w:styleId="Style_34_ch" w:type="character">
    <w:name w:val="Указатель"/>
    <w:basedOn w:val="Style_2_ch"/>
    <w:link w:val="Style_34"/>
  </w:style>
  <w:style w:styleId="Style_35" w:type="paragraph">
    <w:name w:val="Нижний колонтитул"/>
    <w:basedOn w:val="Style_2"/>
    <w:link w:val="Style_35_ch"/>
    <w:pPr>
      <w:tabs>
        <w:tab w:leader="none" w:pos="4677" w:val="center"/>
        <w:tab w:leader="none" w:pos="9355" w:val="right"/>
      </w:tabs>
      <w:ind/>
      <w:jc w:val="left"/>
    </w:pPr>
  </w:style>
  <w:style w:styleId="Style_35_ch" w:type="character">
    <w:name w:val="Нижний колонтитул"/>
    <w:basedOn w:val="Style_2_ch"/>
    <w:link w:val="Style_35"/>
  </w:style>
  <w:style w:styleId="Style_36" w:type="paragraph">
    <w:name w:val="ConsPlusTitle"/>
    <w:link w:val="Style_36_ch"/>
    <w:pPr>
      <w:widowControl w:val="0"/>
      <w:ind/>
      <w:jc w:val="left"/>
    </w:pPr>
    <w:rPr>
      <w:rFonts w:ascii="Arial" w:hAnsi="Arial"/>
      <w:b w:val="1"/>
      <w:color w:val="000000"/>
      <w:sz w:val="24"/>
    </w:rPr>
  </w:style>
  <w:style w:styleId="Style_36_ch" w:type="character">
    <w:name w:val="ConsPlusTitle"/>
    <w:link w:val="Style_36"/>
    <w:rPr>
      <w:rFonts w:ascii="Arial" w:hAnsi="Arial"/>
      <w:b w:val="1"/>
      <w:color w:val="000000"/>
      <w:sz w:val="24"/>
    </w:rPr>
  </w:style>
  <w:style w:styleId="Style_37" w:type="paragraph">
    <w:name w:val="Font Style11"/>
    <w:link w:val="Style_37_ch"/>
    <w:rPr>
      <w:rFonts w:ascii="Times New Roman" w:hAnsi="Times New Roman"/>
      <w:sz w:val="26"/>
    </w:rPr>
  </w:style>
  <w:style w:styleId="Style_37_ch" w:type="character">
    <w:name w:val="Font Style11"/>
    <w:link w:val="Style_37"/>
    <w:rPr>
      <w:rFonts w:ascii="Times New Roman" w:hAnsi="Times New Roman"/>
      <w:sz w:val="26"/>
    </w:rPr>
  </w:style>
  <w:style w:styleId="Style_38" w:type="paragraph">
    <w:name w:val="toc 8"/>
    <w:next w:val="Style_2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ConsPlusNonformat"/>
    <w:link w:val="Style_39_ch"/>
    <w:pPr>
      <w:widowControl w:val="0"/>
      <w:ind/>
      <w:jc w:val="left"/>
    </w:pPr>
    <w:rPr>
      <w:rFonts w:ascii="Courier New" w:hAnsi="Courier New"/>
      <w:color w:val="000000"/>
      <w:sz w:val="20"/>
    </w:rPr>
  </w:style>
  <w:style w:styleId="Style_39_ch" w:type="character">
    <w:name w:val="ConsPlusNonformat"/>
    <w:link w:val="Style_39"/>
    <w:rPr>
      <w:rFonts w:ascii="Courier New" w:hAnsi="Courier New"/>
      <w:color w:val="000000"/>
      <w:sz w:val="20"/>
    </w:rPr>
  </w:style>
  <w:style w:styleId="Style_40" w:type="paragraph">
    <w:name w:val="toc 5"/>
    <w:next w:val="Style_2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Список"/>
    <w:basedOn w:val="Style_5"/>
    <w:link w:val="Style_41_ch"/>
    <w:pPr>
      <w:ind/>
      <w:jc w:val="left"/>
    </w:pPr>
  </w:style>
  <w:style w:styleId="Style_41_ch" w:type="character">
    <w:name w:val="Список"/>
    <w:basedOn w:val="Style_5_ch"/>
    <w:link w:val="Style_41"/>
  </w:style>
  <w:style w:styleId="Style_15" w:type="paragraph">
    <w:name w:val="Содержимое таблицы"/>
    <w:basedOn w:val="Style_2"/>
    <w:link w:val="Style_15_ch"/>
    <w:pPr>
      <w:widowControl w:val="0"/>
      <w:ind/>
      <w:jc w:val="left"/>
    </w:pPr>
  </w:style>
  <w:style w:styleId="Style_15_ch" w:type="character">
    <w:name w:val="Содержимое таблицы"/>
    <w:basedOn w:val="Style_2_ch"/>
    <w:link w:val="Style_15"/>
  </w:style>
  <w:style w:styleId="Style_42" w:type="paragraph">
    <w:name w:val="Subtitle"/>
    <w:next w:val="Style_2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2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Верхний колонтитул Знак"/>
    <w:basedOn w:val="Style_27"/>
    <w:link w:val="Style_44_ch"/>
    <w:rPr>
      <w:rFonts w:ascii="Times New Roman" w:hAnsi="Times New Roman"/>
      <w:color w:val="000000"/>
      <w:sz w:val="24"/>
    </w:rPr>
  </w:style>
  <w:style w:styleId="Style_44_ch" w:type="character">
    <w:name w:val="Верхний колонтитул Знак"/>
    <w:basedOn w:val="Style_27_ch"/>
    <w:link w:val="Style_44"/>
    <w:rPr>
      <w:rFonts w:ascii="Times New Roman" w:hAnsi="Times New Roman"/>
      <w:color w:val="000000"/>
      <w:sz w:val="24"/>
    </w:rPr>
  </w:style>
  <w:style w:styleId="Style_45" w:type="paragraph">
    <w:name w:val="heading 4"/>
    <w:next w:val="Style_2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heading 2"/>
    <w:next w:val="Style_2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Заголовок"/>
    <w:basedOn w:val="Style_2"/>
    <w:next w:val="Style_5"/>
    <w:link w:val="Style_47_ch"/>
    <w:pPr>
      <w:keepNext w:val="1"/>
      <w:spacing w:after="120" w:before="240"/>
      <w:ind/>
      <w:jc w:val="left"/>
    </w:pPr>
    <w:rPr>
      <w:rFonts w:ascii="Liberation Sans" w:hAnsi="Liberation Sans"/>
      <w:sz w:val="28"/>
    </w:rPr>
  </w:style>
  <w:style w:styleId="Style_47_ch" w:type="character">
    <w:name w:val="Заголовок"/>
    <w:basedOn w:val="Style_2_ch"/>
    <w:link w:val="Style_47"/>
    <w:rPr>
      <w:rFonts w:ascii="Liberation Sans" w:hAnsi="Liberation Sans"/>
      <w:sz w:val="28"/>
    </w:r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2025-01-17T06:07:59Z</dcterms:modified>
</cp:coreProperties>
</file>