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</w:rPr>
        <w:t xml:space="preserve">Приложение </w:t>
      </w:r>
    </w:p>
    <w:p w14:paraId="05000000">
      <w:pPr>
        <w:spacing w:after="0" w:line="240" w:lineRule="auto"/>
        <w:ind w:firstLine="0"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Главы Оконешниковского муниципального района Омской области </w:t>
      </w:r>
    </w:p>
    <w:p w14:paraId="06000000">
      <w:pPr>
        <w:spacing w:after="0" w:line="240" w:lineRule="auto"/>
        <w:ind w:firstLine="0" w:left="4536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  <w:u w:val="single"/>
        </w:rPr>
        <w:t>15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января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2025 года № </w:t>
      </w:r>
      <w:r>
        <w:rPr>
          <w:rFonts w:ascii="Times New Roman" w:hAnsi="Times New Roman"/>
          <w:sz w:val="24"/>
          <w:u w:val="single"/>
        </w:rPr>
        <w:t>4-п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проведения   смотра–конкурса на лучшее состояние условий охраны труда в организациях и на предприятиях Оконешниковского муниципальн</w:t>
      </w:r>
      <w:r>
        <w:rPr>
          <w:rFonts w:ascii="Times New Roman" w:hAnsi="Times New Roman"/>
          <w:sz w:val="28"/>
        </w:rPr>
        <w:t>ого района Омской области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</w:t>
      </w:r>
    </w:p>
    <w:p w14:paraId="0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0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 устанавливает задачи, принципы, порядок организации и проведения смотра-конкурса на лучшее состояние условий охраны труда в организациях и на предприятиях Оконешниковского муниципальн</w:t>
      </w:r>
      <w:r>
        <w:rPr>
          <w:rFonts w:ascii="Times New Roman" w:hAnsi="Times New Roman"/>
          <w:sz w:val="28"/>
        </w:rPr>
        <w:t>ого района Омской области в 2025</w:t>
      </w:r>
      <w:r>
        <w:rPr>
          <w:rFonts w:ascii="Times New Roman" w:hAnsi="Times New Roman"/>
          <w:sz w:val="28"/>
        </w:rPr>
        <w:t xml:space="preserve"> году.</w:t>
      </w:r>
    </w:p>
    <w:p w14:paraId="0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смотре-конкурсе вправе принимать участие организации всех организационно-правовых форм и форм собственности, осуществляющие деятельность на территории Оконешниковского муниципального района Омской области. Организации участвуют в смотре-конкурсе на добровольной основе.</w:t>
      </w:r>
    </w:p>
    <w:p w14:paraId="1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Участниками смотра – конкурса могут быть организации и предприятия, не допустившие за год случая  производственного травматизма со смертельным исходом.</w:t>
      </w:r>
    </w:p>
    <w:p w14:paraId="1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Целью проведения смотра-конкурса является обеспечение в организациях благоприятных условий труда, выявление и устранение недостатков в организации работы по охране труда, распространение опыта и методов работы, активизация работы комиссий по охране труда.</w:t>
      </w:r>
    </w:p>
    <w:p w14:paraId="1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Основными задачами проведения смотра-конкурса являются выявление и устранение недостатков в организации работы по охране труда; предупреждение несчастных случаев на производстве и профессиональных заболеваний; стимулирование к улучшению состояния условий труда; распространение методов и опыта работы организаций - победителей конкурса.</w:t>
      </w:r>
    </w:p>
    <w:p w14:paraId="1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Организация смотра-конкурса</w:t>
      </w:r>
    </w:p>
    <w:p w14:paraId="1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Конкурс проводится в 2025 году.</w:t>
      </w:r>
    </w:p>
    <w:p w14:paraId="1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На территории Оконешниковского муниципального района Омской области конкурс организует Администрация Оконешниковского муниципального района Омской области совместно с Межведомственной комиссией по охране труда (далее - Комиссия).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2.3. Для проведения конкурса создается рабочая группа (приложение № 1 к Положению).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2.4. </w:t>
      </w:r>
      <w:r>
        <w:rPr>
          <w:rFonts w:ascii="Times New Roman" w:hAnsi="Times New Roman"/>
          <w:sz w:val="28"/>
        </w:rPr>
        <w:t>В целях достижения объективной оценки деятельности работодателей по охране труда предусмотрено их разделение по   группам  в зависимости от среднесписочной численности</w:t>
      </w:r>
      <w:r>
        <w:rPr>
          <w:rFonts w:ascii="Times New Roman" w:hAnsi="Times New Roman"/>
          <w:sz w:val="28"/>
        </w:rPr>
        <w:t xml:space="preserve"> работников.</w:t>
      </w:r>
    </w:p>
    <w:p w14:paraId="1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По результатам смотра - конкурса определяются работодатели с  лучшей организацией  работ в сфере охраны труда в следующих группах: </w:t>
      </w:r>
    </w:p>
    <w:p w14:paraId="1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группа - до 15 работников в организации;</w:t>
      </w:r>
    </w:p>
    <w:p w14:paraId="1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группа - от 16 до 49 работников в организации</w:t>
      </w:r>
      <w:r>
        <w:rPr>
          <w:rFonts w:ascii="Times New Roman" w:hAnsi="Times New Roman"/>
          <w:sz w:val="28"/>
        </w:rPr>
        <w:t xml:space="preserve"> ;</w:t>
      </w:r>
    </w:p>
    <w:p w14:paraId="1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группа - от 50  работников в организации.</w:t>
      </w:r>
    </w:p>
    <w:p w14:paraId="1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2.4.1. При условии поступления менее 3-х конкурсных заявок на участие в любой группе, указанной в пункте 2.4  конкурс в соответствующей группе   считается состоявшимся.</w:t>
      </w:r>
    </w:p>
    <w:p w14:paraId="1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Для участия в смотре - конкурсе работодатели  в период с 3 февраля 2025 года по 21 февраля 2025  предоставляют на бумажных носителях в рабочую группу, по адресу р.п. Оконешниково, ул. Гагарина 34,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2  заявку на участие в смотре  - конкурсе и информационную карту, по разработанной форме (приложение № 2, № 3 к Положению).</w:t>
      </w:r>
    </w:p>
    <w:p w14:paraId="2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Для проверки полноты, достоверности сведений, представленных победителями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конкурса материалов, </w:t>
      </w:r>
      <w:r>
        <w:rPr>
          <w:rFonts w:ascii="Times New Roman" w:hAnsi="Times New Roman"/>
          <w:sz w:val="28"/>
        </w:rPr>
        <w:t>Рабочая группа</w:t>
      </w:r>
      <w:r>
        <w:rPr>
          <w:rFonts w:ascii="Times New Roman" w:hAnsi="Times New Roman"/>
          <w:sz w:val="28"/>
        </w:rPr>
        <w:t xml:space="preserve"> осуществляет выезд в данные организации. </w:t>
      </w:r>
    </w:p>
    <w:p w14:paraId="2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Рабочая группа  проверяет достоверность и полноту сведений, представленных работодателем, подсчитывает баллы, набранные участниками конкурса, оформляет итоги конкурса протоколом и в срок                      до  28 февраля 2025 года предоставляет вместе с документами победителей в Комиссию.</w:t>
      </w:r>
    </w:p>
    <w:p w14:paraId="2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2.8.  Результаты смотра - конкурса, опыт и методы работы победителей подлежат опубликованию в газете «За урожай» и на официальном сайте администрации Оконешниковского муниципального района в информационно - телекоммуникационной сети «Интернет». </w:t>
      </w:r>
    </w:p>
    <w:p w14:paraId="2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Победители конкурса (работодатель или специалист по охране труда) </w:t>
      </w:r>
      <w:r>
        <w:rPr>
          <w:rFonts w:ascii="Times New Roman" w:hAnsi="Times New Roman"/>
          <w:sz w:val="28"/>
        </w:rPr>
        <w:t xml:space="preserve">делятся опытом работы на </w:t>
      </w:r>
      <w:r>
        <w:rPr>
          <w:rFonts w:ascii="Times New Roman" w:hAnsi="Times New Roman"/>
          <w:sz w:val="28"/>
        </w:rPr>
        <w:t>мероприятиях</w:t>
      </w:r>
      <w:r>
        <w:rPr>
          <w:rFonts w:ascii="Times New Roman" w:hAnsi="Times New Roman"/>
          <w:sz w:val="28"/>
        </w:rPr>
        <w:t xml:space="preserve">  по охране труда проводимых на территории Оконешниковского муниципального района Омской области и  представляют Оконешниковский муниципальный район Омской области на</w:t>
      </w:r>
      <w:r>
        <w:rPr>
          <w:rFonts w:ascii="Times New Roman" w:hAnsi="Times New Roman"/>
          <w:sz w:val="28"/>
        </w:rPr>
        <w:t xml:space="preserve">  ежегодном областном конкурсе «</w:t>
      </w:r>
      <w:r>
        <w:rPr>
          <w:rFonts w:ascii="Times New Roman" w:hAnsi="Times New Roman"/>
          <w:sz w:val="28"/>
        </w:rPr>
        <w:t>Лучший р</w:t>
      </w:r>
      <w:r>
        <w:rPr>
          <w:rFonts w:ascii="Times New Roman" w:hAnsi="Times New Roman"/>
          <w:sz w:val="28"/>
        </w:rPr>
        <w:t>аботодатель года Омской области»</w:t>
      </w:r>
      <w:r>
        <w:rPr>
          <w:rFonts w:ascii="Times New Roman" w:hAnsi="Times New Roman"/>
          <w:sz w:val="28"/>
        </w:rPr>
        <w:t xml:space="preserve"> по итогам 2024 года,  утвержденного Указом Губернатора Омской области.</w:t>
      </w:r>
    </w:p>
    <w:p w14:paraId="2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  <w:highlight w:val="white"/>
        </w:rPr>
      </w:pPr>
      <w:r>
        <w:t xml:space="preserve"> </w:t>
      </w:r>
    </w:p>
    <w:p w14:paraId="25000000">
      <w:pPr>
        <w:tabs>
          <w:tab w:leader="none" w:pos="3804" w:val="left"/>
        </w:tabs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 подведения итогов смотра – конкурса</w:t>
      </w:r>
    </w:p>
    <w:p w14:paraId="26000000">
      <w:pPr>
        <w:tabs>
          <w:tab w:leader="none" w:pos="3804" w:val="left"/>
        </w:tabs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Комиссия определяет победителей смотра - конкурса, в каждой группе по трем призовым местам (первое, второе и третье) либо по одному призовому месту в каждой группе  (в зависимости от количества участников). </w:t>
      </w:r>
    </w:p>
    <w:p w14:paraId="2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Победителями конкурса признаются участники, которые по сумме баллов набрали наибольшее их количество, в каждой группе.</w:t>
      </w:r>
    </w:p>
    <w:p w14:paraId="2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В случае совпадения набранных участниками  конкурса количества баллов, с учетом пунктов соответствующей информационной карты, победители и (или) призеры определяются путем открытого голосования простым большинством голосов. В случае равенства голосов решающим является голос председательствующего на заседании. </w:t>
      </w:r>
    </w:p>
    <w:p w14:paraId="2A000000">
      <w:pPr>
        <w:spacing w:after="0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</w:t>
      </w:r>
      <w:r>
        <w:rPr>
          <w:rFonts w:ascii="Times New Roman" w:hAnsi="Times New Roman"/>
          <w:sz w:val="28"/>
          <w:highlight w:val="white"/>
        </w:rPr>
        <w:t xml:space="preserve">3.4. </w:t>
      </w:r>
      <w:r>
        <w:rPr>
          <w:rFonts w:ascii="Times New Roman" w:hAnsi="Times New Roman"/>
          <w:sz w:val="28"/>
        </w:rPr>
        <w:t>Победители смотра-конкурса награждаются Почетными грамотами Главы Оконешниковского муниципального района Омской области</w:t>
      </w:r>
      <w:r>
        <w:rPr>
          <w:rFonts w:ascii="Times New Roman" w:hAnsi="Times New Roman"/>
          <w:sz w:val="28"/>
          <w:highlight w:val="white"/>
        </w:rPr>
        <w:t xml:space="preserve"> и денежными призами.</w:t>
      </w:r>
    </w:p>
    <w:p w14:paraId="2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Премии для  победителей  смотра-конкурса распределяются следующим образом: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группа – до 15 работников: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 место - в размере 5 000 (Пять тысяч) рублей, 00 копеек;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 место - в размере 2 000 (Две тысячи) рублей, 00 копеек; 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 место - в размере 1000 (Одна тысяча) рублей, 00 копеек;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группа – от 15 до 49 работников: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 место - в размере 5 000 (Пять тысяч) рублей, 00 копеек;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 место - в размере 2500 (Две тысячи пятьсот) рублей, 00 копеек; </w:t>
      </w:r>
    </w:p>
    <w:p w14:paraId="33000000">
      <w:pPr>
        <w:spacing w:after="0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3 место - в размере 1000 (Одна тысяча) рублей, 00 копеек;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группа – свыше 50 работников: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 место - в размере 5 000 (Пять тысяч) рублей, 00 копеек;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 место - в размере 2 500 (Две тысячи пятьсот) рублей, 00 копеек; 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 место - в размере 1000 (Одна тысяча) рублей, 00 копеек;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условии отсутствия заявок на участи в конкурсе в одной из групп  или поступления менее 3-х конкурсных заявок на участие в любой группе, денежные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z w:val="28"/>
        </w:rPr>
        <w:t xml:space="preserve"> заложенные в призовой фонд делятся в равных долях между всеми победителями и призерами всех групп.</w:t>
      </w:r>
    </w:p>
    <w:p w14:paraId="3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    </w:t>
      </w:r>
      <w:r>
        <w:rPr>
          <w:rFonts w:ascii="Times New Roman" w:hAnsi="Times New Roman"/>
          <w:sz w:val="28"/>
          <w:highlight w:val="white"/>
        </w:rPr>
        <w:t>3.5. Дополнительно решением комиссии по</w:t>
      </w:r>
      <w:r>
        <w:rPr>
          <w:rFonts w:ascii="Times New Roman" w:hAnsi="Times New Roman"/>
          <w:sz w:val="28"/>
        </w:rPr>
        <w:t xml:space="preserve"> смотру - конкурсу</w:t>
      </w:r>
      <w:r>
        <w:rPr>
          <w:rFonts w:ascii="Times New Roman" w:hAnsi="Times New Roman"/>
          <w:sz w:val="28"/>
          <w:highlight w:val="white"/>
        </w:rPr>
        <w:t xml:space="preserve"> могут быть определены и награждены  благодарственными письмами и денежными призами участники конкурса, достигшие высоких результатов в работе.</w:t>
      </w:r>
    </w:p>
    <w:p w14:paraId="3A000000">
      <w:pPr>
        <w:spacing w:after="0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</w:t>
      </w:r>
      <w:r>
        <w:rPr>
          <w:rFonts w:ascii="Times New Roman" w:hAnsi="Times New Roman"/>
          <w:sz w:val="28"/>
          <w:highlight w:val="white"/>
        </w:rPr>
        <w:t>3.6. Решение комиссии по</w:t>
      </w:r>
      <w:r>
        <w:rPr>
          <w:rFonts w:ascii="Times New Roman" w:hAnsi="Times New Roman"/>
          <w:sz w:val="28"/>
        </w:rPr>
        <w:t xml:space="preserve"> смотру - конкурсу</w:t>
      </w:r>
      <w:r>
        <w:rPr>
          <w:rFonts w:ascii="Times New Roman" w:hAnsi="Times New Roman"/>
          <w:sz w:val="28"/>
          <w:highlight w:val="white"/>
        </w:rPr>
        <w:t xml:space="preserve"> оформляется протоколом, который подписывается председательствующим на заседании  комиссии   в день принятия решения.  </w:t>
      </w:r>
    </w:p>
    <w:p w14:paraId="3B000000">
      <w:pPr>
        <w:spacing w:after="0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</w:t>
      </w:r>
      <w:r>
        <w:rPr>
          <w:rFonts w:ascii="Times New Roman" w:hAnsi="Times New Roman"/>
          <w:sz w:val="28"/>
          <w:highlight w:val="white"/>
        </w:rPr>
        <w:t xml:space="preserve">3.7. Финансирование проведения конкурса осуществляется за счет средств, предусмотренных в бюджете района на реализацию подпрограммы 11 «Повышение эффективности расходования бюджетных средств в Оконешниковском муниципальном районе»  мероприятие 5 «Улучшение </w:t>
      </w:r>
      <w:r>
        <w:rPr>
          <w:rFonts w:ascii="Times New Roman" w:hAnsi="Times New Roman"/>
          <w:sz w:val="28"/>
          <w:highlight w:val="white"/>
        </w:rPr>
        <w:t>условий и охраны труда в районе» муниципальной программы Оконешниковского муниципального района Омской области «Развитие экономического потенциала Оконешниковского муниципального района Омской области»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(2014-2027).</w:t>
      </w:r>
    </w:p>
    <w:p w14:paraId="3C000000">
      <w:pPr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</w:p>
    <w:p w14:paraId="3D000000">
      <w:pPr>
        <w:spacing w:after="0" w:line="240" w:lineRule="auto"/>
        <w:ind w:firstLine="0" w:left="4536"/>
        <w:jc w:val="both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firstLine="0"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3F000000">
      <w:pPr>
        <w:spacing w:after="0" w:line="240" w:lineRule="auto"/>
        <w:ind w:firstLine="0"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 о порядке проведения смотра-конкурса на лучшее состояние условий и охраны труда в организациях и на предприятиях Оконешниковского муниципального района Омской области в 2025 году</w:t>
      </w:r>
    </w:p>
    <w:p w14:paraId="40000000">
      <w:pPr>
        <w:spacing w:after="0" w:line="240" w:lineRule="auto"/>
        <w:ind w:firstLine="540" w:left="0"/>
        <w:jc w:val="both"/>
        <w:rPr>
          <w:rFonts w:ascii="Arial" w:hAnsi="Arial"/>
          <w:sz w:val="20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рабочей группы по проведению итогов смотра – конкурса на лучшее состояние условий и охраны труда в организациях и на предприятиях Оконешниковского муниципальн</w:t>
      </w:r>
      <w:r>
        <w:rPr>
          <w:rFonts w:ascii="Times New Roman" w:hAnsi="Times New Roman"/>
          <w:sz w:val="28"/>
        </w:rPr>
        <w:t>ого района Омской области в 2025</w:t>
      </w:r>
      <w:r>
        <w:rPr>
          <w:rFonts w:ascii="Times New Roman" w:hAnsi="Times New Roman"/>
          <w:sz w:val="28"/>
        </w:rPr>
        <w:t xml:space="preserve"> году</w:t>
      </w:r>
    </w:p>
    <w:p w14:paraId="42000000">
      <w:pPr>
        <w:tabs>
          <w:tab w:leader="none" w:pos="2977" w:val="left"/>
          <w:tab w:leader="none" w:pos="3261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16"/>
        <w:gridCol w:w="6939"/>
      </w:tblGrid>
      <w:tr>
        <w:tc>
          <w:tcPr>
            <w:tcW w:type="dxa" w:w="241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Еременко Галина Васильевна</w:t>
            </w:r>
          </w:p>
        </w:tc>
        <w:tc>
          <w:tcPr>
            <w:tcW w:type="dxa" w:w="69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Начальник Оконешниковского отдела Межрайонного управления Министерства труда и социального развития Омской области №7, председатель рабочей группы 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241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1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Олизаревич Татьяна Юрьевна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Дмитриев Андрей Михайлович</w:t>
            </w:r>
          </w:p>
        </w:tc>
        <w:tc>
          <w:tcPr>
            <w:tcW w:type="dxa" w:w="69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главный специалист Оконешниковского отдела Межрайонного управления Министерства труда и социального развития Омской области №7, секретарь рабочей группы 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D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</w:p>
          <w:p w14:paraId="4E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- начальник Правового управления    </w:t>
            </w:r>
          </w:p>
          <w:p w14:paraId="4F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Администрации </w:t>
            </w:r>
            <w:r>
              <w:rPr>
                <w:rFonts w:ascii="Times New Roman" w:hAnsi="Times New Roman"/>
                <w:sz w:val="28"/>
              </w:rPr>
              <w:t xml:space="preserve">Оконешниковского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</w:p>
          <w:p w14:paraId="50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района Омской области;</w:t>
            </w:r>
          </w:p>
          <w:p w14:paraId="51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1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3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Рыбина Елена Александровна</w:t>
            </w:r>
          </w:p>
        </w:tc>
        <w:tc>
          <w:tcPr>
            <w:tcW w:type="dxa" w:w="69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координационного Совета профсоюзных организаций Оконешниковского района 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5000000">
            <w:pPr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1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Егорова Надежда Дмитриевна</w:t>
            </w:r>
          </w:p>
        </w:tc>
        <w:tc>
          <w:tcPr>
            <w:tcW w:type="dxa" w:w="69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Территориального объединения работодателей Оконешниковского района 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8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1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Зярко Елена Сергеевна</w:t>
            </w:r>
          </w:p>
        </w:tc>
        <w:tc>
          <w:tcPr>
            <w:tcW w:type="dxa" w:w="69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в</w:t>
            </w:r>
            <w:r>
              <w:rPr>
                <w:rFonts w:ascii="Times New Roman" w:hAnsi="Times New Roman"/>
                <w:sz w:val="28"/>
              </w:rPr>
              <w:t>едущий специалист</w:t>
            </w:r>
            <w:r>
              <w:rPr>
                <w:rFonts w:ascii="Times New Roman" w:hAnsi="Times New Roman"/>
                <w:sz w:val="28"/>
              </w:rPr>
              <w:t xml:space="preserve"> Муниципального казенного учреждения "Центр финансово-экономического, хозяйственного и информационно-методического обеспечения в сфере образования" Оконешниковского муниципального района, Омской области 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B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1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Курило</w:t>
            </w:r>
          </w:p>
          <w:p w14:paraId="5D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Татьяна Валерьевна</w:t>
            </w:r>
          </w:p>
        </w:tc>
        <w:tc>
          <w:tcPr>
            <w:tcW w:type="dxa" w:w="69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tabs>
                <w:tab w:leader="none" w:pos="2977" w:val="left"/>
                <w:tab w:leader="none" w:pos="3261" w:val="left"/>
              </w:tabs>
              <w:spacing w:after="0" w:line="240" w:lineRule="auto"/>
              <w:ind w:firstLine="501" w:left="38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</w:t>
            </w:r>
            <w:r>
              <w:rPr>
                <w:rFonts w:ascii="Times New Roman" w:hAnsi="Times New Roman"/>
                <w:sz w:val="28"/>
              </w:rPr>
              <w:t>пециалист по охране труда БУ "КЦСОН Оконешниковского района" (по согласованию).</w:t>
            </w:r>
          </w:p>
        </w:tc>
      </w:tr>
    </w:tbl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 w:firstLine="0" w:left="4536"/>
        <w:jc w:val="both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 w:firstLine="0"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62000000">
      <w:pPr>
        <w:spacing w:after="0" w:line="240" w:lineRule="auto"/>
        <w:ind w:firstLine="0"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 о порядке проведения смотра-конкурса на лучшее состояние условий и охраны труда в организациях и на предприятиях Оконешниковского муниципального района Омской области в 2025 году</w:t>
      </w: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 w14:paraId="6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участие в смотре-конкурсе на лучшее состояние </w:t>
      </w:r>
    </w:p>
    <w:p w14:paraId="6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условий и охраны труда в организациях и на предприятиях</w:t>
      </w:r>
    </w:p>
    <w:p w14:paraId="6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Оконешниковского муниципального района Омской области </w:t>
      </w:r>
    </w:p>
    <w:p w14:paraId="6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6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14:paraId="6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наименование работодателя)</w:t>
      </w:r>
    </w:p>
    <w:p w14:paraId="6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зарегистрированны</w:t>
      </w:r>
      <w:r>
        <w:rPr>
          <w:rFonts w:ascii="Times New Roman" w:hAnsi="Times New Roman"/>
          <w:sz w:val="24"/>
        </w:rPr>
        <w:t>й(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z w:val="24"/>
        </w:rPr>
        <w:t>) "____"_____________года _______</w:t>
      </w:r>
    </w:p>
    <w:p w14:paraId="6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6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(орган, зарегистрировавший работодателя)</w:t>
      </w:r>
    </w:p>
    <w:p w14:paraId="6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чем выдано свидетельство N ____________________________, заявляет о своем </w:t>
      </w:r>
      <w:r>
        <w:rPr>
          <w:rFonts w:ascii="Times New Roman" w:hAnsi="Times New Roman"/>
          <w:sz w:val="24"/>
        </w:rPr>
        <w:t>намерении  принять  участие  в   смотре-конкурсе  на лучшее состояние условий охраны труда в организациях и на предприятиях Оконешниковского муниципального района Омской области в 2025 году.</w:t>
      </w:r>
    </w:p>
    <w:p w14:paraId="6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сведения о работодателе:</w:t>
      </w:r>
    </w:p>
    <w:p w14:paraId="71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адрес______________________________________________________</w:t>
      </w:r>
    </w:p>
    <w:p w14:paraId="72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_______________________________________________________________________;    </w:t>
      </w:r>
    </w:p>
    <w:p w14:paraId="73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_______________________________________________________________;</w:t>
      </w:r>
    </w:p>
    <w:p w14:paraId="74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 экономической деятельности (отрасль производства)_______________________</w:t>
      </w:r>
    </w:p>
    <w:p w14:paraId="75000000">
      <w:pPr>
        <w:widowControl w:val="0"/>
        <w:spacing w:after="0" w:line="240" w:lineRule="auto"/>
        <w:ind w:firstLine="0"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(в соответствии с Общероссийским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"consultantplus://offline/ref=6BD98A13A1C9BB020FE53FB1841958B1D07417A14A4464AFC9F0FB3EA3JDK4F"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классификатором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видов экономической деятельности)</w:t>
      </w:r>
    </w:p>
    <w:p w14:paraId="76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 рабочих  мест</w:t>
      </w:r>
      <w:r>
        <w:rPr>
          <w:rFonts w:ascii="Times New Roman" w:hAnsi="Times New Roman"/>
          <w:sz w:val="24"/>
        </w:rPr>
        <w:t>: _______________________________________________;</w:t>
      </w:r>
    </w:p>
    <w:p w14:paraId="77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среднесписочная  численность  работников:_______________________________ человек, в том числе: ______женщин, _______ подростков,________ инвалидов;</w:t>
      </w:r>
    </w:p>
    <w:p w14:paraId="78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работников, принятых на работу в текущем </w:t>
      </w:r>
      <w:r>
        <w:rPr>
          <w:rFonts w:ascii="Times New Roman" w:hAnsi="Times New Roman"/>
          <w:sz w:val="24"/>
        </w:rPr>
        <w:t>году:______________человек</w:t>
      </w:r>
      <w:r>
        <w:rPr>
          <w:rFonts w:ascii="Times New Roman" w:hAnsi="Times New Roman"/>
          <w:sz w:val="24"/>
        </w:rPr>
        <w:t>;</w:t>
      </w:r>
    </w:p>
    <w:p w14:paraId="79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лицо:_________________________________________________________</w:t>
      </w:r>
    </w:p>
    <w:p w14:paraId="7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________________________________________________________________________.</w:t>
      </w:r>
    </w:p>
    <w:p w14:paraId="7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(ФИО, должность, телефон, адрес электронной почты)</w:t>
      </w:r>
    </w:p>
    <w:p w14:paraId="7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 С порядком проведения конкурса </w:t>
      </w:r>
      <w:r>
        <w:rPr>
          <w:rFonts w:ascii="Times New Roman" w:hAnsi="Times New Roman"/>
          <w:sz w:val="24"/>
        </w:rPr>
        <w:t>ознакомлен</w:t>
      </w:r>
      <w:r>
        <w:rPr>
          <w:rFonts w:ascii="Times New Roman" w:hAnsi="Times New Roman"/>
          <w:sz w:val="24"/>
        </w:rPr>
        <w:t xml:space="preserve"> и согласен.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Подтверждаю, что заявитель не является банкротом, не находится в состоянии ликвидации, арест на имущество заявителя не наложен, задолженности по выплате заработной платы  на дату сдачи конкурсных документов не имеется.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Полноту и достоверность сведений, указанных в настоящей заявке и прилагаемых документах, гарантирую.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 о том, что участники конкурса, представившие в конкурсную комиссию недостоверные данные, могут быть не допущены к участию в конкурсе или сняты с участия в конкурсе в процессе его проведения.</w:t>
      </w:r>
    </w:p>
    <w:p w14:paraId="8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организации</w:t>
      </w:r>
    </w:p>
    <w:p w14:paraId="8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</w:p>
    <w:p w14:paraId="8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(должность, подпись, фамилия и инициалы)</w:t>
      </w:r>
    </w:p>
    <w:p w14:paraId="8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8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 ___ " ________________ 2025 год</w:t>
      </w:r>
    </w:p>
    <w:p w14:paraId="8600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</w:p>
    <w:p w14:paraId="8800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</w:p>
    <w:p w14:paraId="8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Регистрационный номер заявки ___________________________</w:t>
      </w:r>
    </w:p>
    <w:p w14:paraId="8B00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</w:p>
    <w:p w14:paraId="8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приема заявки "__" __________2025 год. </w:t>
      </w:r>
    </w:p>
    <w:p w14:paraId="8D00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</w:p>
    <w:p w14:paraId="8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специалиста _________________</w:t>
      </w:r>
    </w:p>
    <w:p w14:paraId="8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</w:rPr>
        <w:t xml:space="preserve">       Приложение № 3</w:t>
      </w:r>
    </w:p>
    <w:p w14:paraId="B6000000">
      <w:pPr>
        <w:spacing w:after="0" w:line="240" w:lineRule="auto"/>
        <w:ind w:firstLine="0"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 о порядке проведения смотра - конкурса на лучшее состояние условий и охраны труда в организациях и на предприятиях Оконешниковского муниципального района Омской области в 2025 году</w:t>
      </w:r>
    </w:p>
    <w:p w14:paraId="B7000000">
      <w:pPr>
        <w:spacing w:after="0" w:line="240" w:lineRule="auto"/>
        <w:ind w:firstLine="0" w:left="4536"/>
        <w:jc w:val="both"/>
        <w:rPr>
          <w:rFonts w:ascii="Times New Roman" w:hAnsi="Times New Roman"/>
          <w:sz w:val="24"/>
        </w:rPr>
      </w:pPr>
    </w:p>
    <w:p w14:paraId="B8000000">
      <w:pPr>
        <w:keepNext w:val="1"/>
        <w:keepLines w:val="1"/>
        <w:widowControl w:val="0"/>
        <w:spacing w:after="0" w:line="326" w:lineRule="exact"/>
        <w:ind w:right="30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Информационная карта </w:t>
      </w:r>
    </w:p>
    <w:p w14:paraId="B9000000">
      <w:pPr>
        <w:keepNext w:val="1"/>
        <w:keepLines w:val="1"/>
        <w:widowControl w:val="0"/>
        <w:spacing w:after="0" w:line="326" w:lineRule="exact"/>
        <w:ind w:right="30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показателей смотра-конкурса на лучшее состояние условий и охраны труда в организациях и на предприятиях Оконешниковского муниципального района Омской области по итогам 2024 года</w:t>
      </w:r>
    </w:p>
    <w:p w14:paraId="BA000000">
      <w:pPr>
        <w:keepNext w:val="1"/>
        <w:keepLines w:val="1"/>
        <w:widowControl w:val="0"/>
        <w:spacing w:after="0" w:line="326" w:lineRule="exact"/>
        <w:ind w:right="30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</w:t>
      </w:r>
    </w:p>
    <w:p w14:paraId="BB000000">
      <w:pPr>
        <w:keepNext w:val="1"/>
        <w:keepLines w:val="1"/>
        <w:widowControl w:val="0"/>
        <w:spacing w:after="0" w:line="326" w:lineRule="exact"/>
        <w:ind w:right="301"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Полное наименование организации, без сокращений</w:t>
      </w:r>
    </w:p>
    <w:p w14:paraId="BC000000">
      <w:pPr>
        <w:keepNext w:val="1"/>
        <w:keepLines w:val="1"/>
        <w:widowControl w:val="0"/>
        <w:spacing w:after="0" w:line="326" w:lineRule="exact"/>
        <w:ind w:right="30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</w:t>
      </w:r>
    </w:p>
    <w:p w14:paraId="BD000000">
      <w:pPr>
        <w:keepNext w:val="1"/>
        <w:keepLines w:val="1"/>
        <w:widowControl w:val="0"/>
        <w:spacing w:after="0" w:line="326" w:lineRule="exact"/>
        <w:ind w:right="301"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подачи информации</w:t>
      </w:r>
    </w:p>
    <w:tbl>
      <w:tblPr>
        <w:tblW w:type="auto" w:w="0"/>
        <w:tblInd w:type="dxa" w:w="-6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1"/>
        <w:gridCol w:w="3780"/>
        <w:gridCol w:w="1106"/>
        <w:gridCol w:w="1106"/>
        <w:gridCol w:w="1106"/>
        <w:gridCol w:w="1245"/>
        <w:gridCol w:w="1245"/>
      </w:tblGrid>
      <w:t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14:paraId="BF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измерений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за 2024 год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Критерии,</w:t>
            </w:r>
          </w:p>
          <w:p w14:paraId="C4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баллы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Результат,</w:t>
            </w:r>
          </w:p>
          <w:p w14:paraId="C6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баллы</w:t>
            </w:r>
          </w:p>
          <w:p w14:paraId="C7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(заполняется работодателем)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Результат,</w:t>
            </w:r>
          </w:p>
          <w:p w14:paraId="C9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баллы</w:t>
            </w:r>
          </w:p>
          <w:p w14:paraId="CA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(заполняется рабочей группой)</w:t>
            </w:r>
          </w:p>
        </w:tc>
      </w:tr>
      <w:t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Среднесписочная численность </w:t>
            </w:r>
            <w:r>
              <w:rPr>
                <w:rFonts w:ascii="Times New Roman" w:hAnsi="Times New Roman"/>
                <w:b w:val="1"/>
                <w:sz w:val="24"/>
              </w:rPr>
              <w:t>работающих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Состояние травматизма на производстве: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0"/>
        </w:trP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число пострадавших на производстве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8"/>
        </w:trP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число дней нетрудоспособности </w:t>
            </w:r>
            <w:r>
              <w:rPr>
                <w:rFonts w:ascii="Times New Roman" w:hAnsi="Times New Roman"/>
                <w:sz w:val="24"/>
              </w:rPr>
              <w:t>пострадавших на производстве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 30 дней (включительно)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E9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"-0,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2"/>
        </w:trP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более 30 дней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F0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"-1"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Наличие освобожденного специалиста по охране труда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FE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05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наличие приказа о возложении обязанностей по охране труда </w:t>
            </w:r>
            <w:r>
              <w:rPr>
                <w:rFonts w:ascii="Times New Roman" w:hAnsi="Times New Roman"/>
                <w:b w:val="1"/>
                <w:sz w:val="24"/>
              </w:rPr>
              <w:t>(при численности работников менее 50 человек)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0C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наличие оборудованного кабинета по охране труда (уголка по охране труда)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14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Наличие комитетов (комиссий) по охране труда (при численности работников более 10 человек)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spacing w:after="0" w:line="28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2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2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0"/>
              <w:spacing w:after="0" w:line="28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нет необходимости (для организаций с численностью рабочих менее 10 чел.)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3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Проведение обучения и проверки знаний работников по охране труда  - </w:t>
            </w:r>
            <w:r>
              <w:rPr>
                <w:rFonts w:ascii="Times New Roman" w:hAnsi="Times New Roman"/>
                <w:sz w:val="24"/>
              </w:rPr>
              <w:t>Указывается число работников, обученных за 3 года (2022, 2023, 2024), т.к. работник должен проходить обучение 1 раз в 3 года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обучен руководитель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3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обучен специалист, отвечающий за вопросы по охране труда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45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|- обучены работники</w:t>
            </w:r>
          </w:p>
          <w:p w14:paraId="4901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A01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-90%-100% человек</w:t>
            </w:r>
          </w:p>
          <w:p w14:paraId="4B01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менее 90%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4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5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  <w:p w14:paraId="5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Наличие утвержденных инструкций по охране труда для работников согласно перечню профессий и работ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5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нет в наличии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6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"-0,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6A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Наличие коллективного договора</w:t>
            </w:r>
          </w:p>
          <w:p w14:paraId="6C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6F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70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7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7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нет необходимости (для ИП, КФХ численностью менее 5 человек)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7A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соглашения (плана мероприятий) по охране труда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80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81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8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84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0"/>
              <w:spacing w:after="0" w:line="23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Своевременное проведение периодических медицинских осмотров</w:t>
            </w:r>
          </w:p>
          <w:p w14:paraId="89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(рассчитывается 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% = </w:t>
            </w:r>
            <w:r>
              <w:rPr>
                <w:rFonts w:ascii="Times New Roman" w:hAnsi="Times New Roman"/>
                <w:sz w:val="24"/>
              </w:rPr>
              <w:t xml:space="preserve">количество чел. прошедших </w:t>
            </w:r>
            <w:r>
              <w:rPr>
                <w:rFonts w:ascii="Times New Roman" w:hAnsi="Times New Roman"/>
                <w:sz w:val="24"/>
              </w:rPr>
              <w:t>мед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>смотр</w:t>
            </w:r>
            <w:r>
              <w:rPr>
                <w:rFonts w:ascii="Times New Roman" w:hAnsi="Times New Roman"/>
                <w:sz w:val="24"/>
              </w:rPr>
              <w:t xml:space="preserve"> к общему количеству чел *100)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8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spacing w:after="0" w:line="274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Проведение работ по организации контроля и надзора за состоянием производственных зданий и сооружений</w:t>
            </w:r>
            <w:r>
              <w:rPr>
                <w:rFonts w:ascii="Times New Roman" w:hAnsi="Times New Roman"/>
                <w:sz w:val="24"/>
              </w:rPr>
              <w:t xml:space="preserve"> (данный пункт заполняется не зависимо от того находится здание в оперативном управлении или арендовано):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spacing w:after="0" w:line="23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журнала или актов обследования</w:t>
            </w:r>
          </w:p>
          <w:p w14:paraId="98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9C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отсутствие журнала или актов обследования</w:t>
            </w:r>
          </w:p>
          <w:p w14:paraId="A0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A4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Обеспеченность первичными средствами пожаротушения и их состояние: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огнетушителей, журнала проверки и учета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B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numPr>
                <w:ilvl w:val="0"/>
                <w:numId w:val="2"/>
              </w:numPr>
              <w:tabs>
                <w:tab w:leader="none" w:pos="130" w:val="left"/>
              </w:tabs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пожарного щита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after="0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B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numPr>
                <w:ilvl w:val="0"/>
                <w:numId w:val="2"/>
              </w:numPr>
              <w:tabs>
                <w:tab w:leader="none" w:pos="134" w:val="left"/>
              </w:tabs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аптечки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0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C0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spacing w:after="0" w:line="18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Проведено мероприятий по охране труд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семинары, подведение итогов по выполнению соглашения, об</w:t>
            </w:r>
          </w:p>
          <w:p w14:paraId="C5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охране труда в организации, выступление на межведомственных комиссиях, участие в проведении Дня охраны труда)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мероприятия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C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мероприятии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D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Проведение специальной оценки рабочих мест по условиям труда</w:t>
            </w:r>
          </w:p>
          <w:p w14:paraId="DB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(наличие заключительного акта выполненных работ), наличие декларации соответствия условий труда.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Общее количество аттестованных рабочих мест (проведена специальная оценка рабочих мест) за 5 лет</w:t>
            </w:r>
          </w:p>
          <w:p w14:paraId="E2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(рассчитывается в % = количество мест, на которых проведена аттестация/ общее количество мест * 100)</w:t>
            </w:r>
          </w:p>
          <w:p w14:paraId="E3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- 100%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E7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-более 50%</w:t>
            </w:r>
          </w:p>
          <w:p w14:paraId="EB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E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 5"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-менее 50 % (включительно)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F6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  "+0, 2"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14:paraId="FA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FB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FC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F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F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F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0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1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2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3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4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5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6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7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8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9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A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B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C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D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14:paraId="0E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0F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10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11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12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13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spacing w:after="0" w:line="245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Обеспеченность работников спецодеждой </w:t>
            </w:r>
            <w:r>
              <w:rPr>
                <w:rFonts w:ascii="Times New Roman" w:hAnsi="Times New Roman"/>
                <w:sz w:val="24"/>
              </w:rPr>
              <w:t xml:space="preserve">(обязательно наличие сертификата качества, карточки учета (ведомости) выдачи </w:t>
            </w:r>
            <w:r>
              <w:rPr>
                <w:rFonts w:ascii="Times New Roman" w:hAnsi="Times New Roman"/>
                <w:sz w:val="24"/>
              </w:rPr>
              <w:t>СИЗ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-Да</w:t>
            </w:r>
          </w:p>
          <w:p w14:paraId="1B020000">
            <w:pPr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(рассчитывается в </w:t>
            </w:r>
            <w:r>
              <w:rPr>
                <w:rFonts w:ascii="Times New Roman" w:hAnsi="Times New Roman"/>
                <w:b w:val="1"/>
                <w:sz w:val="24"/>
              </w:rPr>
              <w:t>% =</w:t>
            </w:r>
            <w:r>
              <w:rPr>
                <w:rFonts w:ascii="Times New Roman" w:hAnsi="Times New Roman"/>
                <w:sz w:val="24"/>
              </w:rPr>
              <w:t xml:space="preserve">, количество чел, которым </w:t>
            </w:r>
            <w:r>
              <w:rPr>
                <w:rFonts w:ascii="Times New Roman" w:hAnsi="Times New Roman"/>
                <w:sz w:val="24"/>
              </w:rPr>
              <w:t>выданы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СИЗ / количество чел, которым предусмотрена выдача СИЗ  </w:t>
            </w:r>
            <w:r>
              <w:rPr>
                <w:rFonts w:ascii="Times New Roman" w:hAnsi="Times New Roman"/>
                <w:b w:val="1"/>
                <w:sz w:val="24"/>
              </w:rPr>
              <w:t xml:space="preserve">* </w:t>
            </w:r>
            <w:r>
              <w:rPr>
                <w:rFonts w:ascii="Times New Roman" w:hAnsi="Times New Roman"/>
                <w:sz w:val="24"/>
              </w:rPr>
              <w:t>100)</w:t>
            </w:r>
          </w:p>
          <w:p w14:paraId="1C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- 100% -  </w:t>
            </w:r>
          </w:p>
          <w:p w14:paraId="1D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50%</w:t>
            </w:r>
          </w:p>
          <w:p w14:paraId="1E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50 % (включительно)</w:t>
            </w:r>
          </w:p>
          <w:p w14:paraId="1F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23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24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25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26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  <w:p w14:paraId="27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 5"</w:t>
            </w:r>
          </w:p>
          <w:p w14:paraId="28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"+0, 3"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2F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after="0" w:line="283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Нет необходимости (для организаций, где </w:t>
            </w:r>
            <w:r>
              <w:rPr>
                <w:rFonts w:ascii="Times New Roman" w:hAnsi="Times New Roman"/>
                <w:sz w:val="24"/>
              </w:rPr>
              <w:t>СИЗ</w:t>
            </w:r>
            <w:r>
              <w:rPr>
                <w:rFonts w:ascii="Times New Roman" w:hAnsi="Times New Roman"/>
                <w:sz w:val="24"/>
              </w:rPr>
              <w:t xml:space="preserve"> не предусмотрены)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36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after="0" w:line="283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внедрение модельной корпоративной программы "Здоровье на рабочем месте",  </w:t>
            </w:r>
            <w:r>
              <w:rPr>
                <w:rFonts w:ascii="Times New Roman" w:hAnsi="Times New Roman"/>
                <w:sz w:val="24"/>
              </w:rPr>
              <w:t>оценка эффективности реализации программы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after="0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3C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3D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3F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40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88"/>
        </w:trP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разработка </w:t>
            </w:r>
            <w:r>
              <w:rPr>
                <w:rFonts w:ascii="Times New Roman" w:hAnsi="Times New Roman"/>
                <w:b w:val="1"/>
                <w:sz w:val="24"/>
              </w:rPr>
              <w:t>програмы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 "</w:t>
            </w:r>
            <w:r>
              <w:rPr>
                <w:rFonts w:ascii="Times New Roman" w:hAnsi="Times New Roman"/>
                <w:b w:val="1"/>
                <w:sz w:val="24"/>
              </w:rPr>
              <w:t>Visionzero</w:t>
            </w:r>
            <w:r>
              <w:rPr>
                <w:rFonts w:ascii="Times New Roman" w:hAnsi="Times New Roman"/>
                <w:b w:val="1"/>
                <w:sz w:val="24"/>
              </w:rPr>
              <w:t>" ("нулевого травматизма")</w:t>
            </w:r>
            <w:r>
              <w:rPr>
                <w:rFonts w:ascii="Times New Roman" w:hAnsi="Times New Roman"/>
                <w:sz w:val="24"/>
              </w:rPr>
              <w:t>, оценка эффективности реализации программы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after="0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6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47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49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4A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- проведение оценки профессиональных рисков</w:t>
            </w:r>
            <w:r>
              <w:rPr>
                <w:rFonts w:ascii="Times New Roman" w:hAnsi="Times New Roman"/>
                <w:sz w:val="24"/>
              </w:rPr>
              <w:t>, их актуализация.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0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51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52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54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"+1"</w:t>
            </w:r>
          </w:p>
          <w:p w14:paraId="55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- наличие порядка учета                                         микроповреждений;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0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5C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5D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5F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60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64"/>
        </w:trP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after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-наличие журнала учета микроповреждений.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0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67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68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6A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6B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12"/>
        </w:trP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keepNext w:val="1"/>
              <w:keepLines w:val="1"/>
              <w:widowControl w:val="0"/>
              <w:spacing w:after="0" w:line="278" w:lineRule="exact"/>
              <w:ind w:firstLine="0" w:left="0" w:right="0"/>
              <w:jc w:val="both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Предоставление отчетности по вопросам охраны труд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участие в ежегодном мониторинге по охране труда):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numPr>
                <w:ilvl w:val="0"/>
                <w:numId w:val="3"/>
              </w:numPr>
              <w:tabs>
                <w:tab w:leader="none" w:pos="130" w:val="left"/>
              </w:tabs>
              <w:spacing w:after="0" w:line="278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формы ОТ - 1 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78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79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7B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7C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keepNext w:val="1"/>
              <w:keepLines w:val="1"/>
              <w:widowControl w:val="0"/>
              <w:spacing w:after="0" w:line="278" w:lineRule="exact"/>
              <w:ind w:firstLine="0" w:left="0" w:right="0"/>
              <w:jc w:val="both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Своевременное уведомление об изменениях в показателях мониторинга в течение года </w:t>
            </w: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numPr>
                <w:ilvl w:val="0"/>
                <w:numId w:val="4"/>
              </w:numPr>
              <w:tabs>
                <w:tab w:leader="none" w:pos="134" w:val="left"/>
              </w:tabs>
              <w:spacing w:after="0" w:line="278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обучению работников;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89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8A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8C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8D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numPr>
                <w:ilvl w:val="0"/>
                <w:numId w:val="4"/>
              </w:numPr>
              <w:tabs>
                <w:tab w:leader="none" w:pos="134" w:val="left"/>
              </w:tabs>
              <w:spacing w:after="0" w:line="278" w:lineRule="exact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проведению специальной оценки рабочих мест (предоставление копии сводной ведомости);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93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94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96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97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spacing w:after="0" w:line="283" w:lineRule="exact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наличию несчастных случаев в организации (предоставление </w:t>
            </w:r>
            <w:r>
              <w:rPr>
                <w:rFonts w:ascii="Times New Roman" w:hAnsi="Times New Roman"/>
                <w:sz w:val="24"/>
              </w:rPr>
              <w:t>копии акта Н – 1)</w:t>
            </w:r>
          </w:p>
          <w:p w14:paraId="9B020000">
            <w:pPr>
              <w:spacing w:after="0" w:line="283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отсутствие несчастных случаев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9E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9F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A0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  <w:p w14:paraId="A2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A3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"0"</w:t>
            </w:r>
          </w:p>
          <w:p w14:paraId="A4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"+0,5"</w:t>
            </w:r>
          </w:p>
          <w:p w14:paraId="A5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A6020000">
            <w:pPr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A702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after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</w:tbl>
    <w:p w14:paraId="AA02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sectPr>
      <w:headerReference r:id="rId1" w:type="default"/>
      <w:type w:val="continuous"/>
      <w:pgSz w:h="16838" w:orient="portrait" w:w="11906"/>
      <w:pgMar w:bottom="1134" w:footer="708" w:header="680" w:left="992" w:right="709" w:top="141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 w:firstLine="0" w:left="0" w:right="0"/>
      <w:jc w:val="center"/>
      <w:rPr>
        <w:rFonts w:ascii="Times New Roman" w:hAnsi="Times New Roman"/>
      </w:rPr>
    </w:pPr>
  </w:p>
  <w:p w14:paraId="03000000">
    <w:pPr>
      <w:pStyle w:val="Style_1"/>
      <w:ind w:firstLine="0" w:left="0" w:right="0"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DocList"/>
    <w:link w:val="Style_4_ch"/>
    <w:pPr>
      <w:widowControl w:val="0"/>
      <w:ind/>
      <w:jc w:val="left"/>
    </w:pPr>
    <w:rPr>
      <w:rFonts w:ascii="Tahoma" w:hAnsi="Tahoma"/>
      <w:color w:val="000000"/>
      <w:sz w:val="18"/>
    </w:rPr>
  </w:style>
  <w:style w:styleId="Style_4_ch" w:type="character">
    <w:name w:val="ConsPlusDocList"/>
    <w:link w:val="Style_4"/>
    <w:rPr>
      <w:rFonts w:ascii="Tahoma" w:hAnsi="Tahoma"/>
      <w:color w:val="000000"/>
      <w:sz w:val="1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Нижний колонтитул Знак"/>
    <w:basedOn w:val="Style_9"/>
    <w:link w:val="Style_8_ch"/>
    <w:rPr>
      <w:rFonts w:ascii="Times New Roman" w:hAnsi="Times New Roman"/>
      <w:color w:val="000000"/>
      <w:sz w:val="24"/>
    </w:rPr>
  </w:style>
  <w:style w:styleId="Style_8_ch" w:type="character">
    <w:name w:val="Нижний колонтитул Знак"/>
    <w:basedOn w:val="Style_9_ch"/>
    <w:link w:val="Style_8"/>
    <w:rPr>
      <w:rFonts w:ascii="Times New Roman" w:hAnsi="Times New Roman"/>
      <w:color w:val="000000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Заголовок"/>
    <w:basedOn w:val="Style_2"/>
    <w:next w:val="Style_13"/>
    <w:link w:val="Style_12_ch"/>
    <w:pPr>
      <w:keepNext w:val="1"/>
      <w:spacing w:after="120" w:before="240"/>
      <w:ind/>
      <w:jc w:val="left"/>
    </w:pPr>
    <w:rPr>
      <w:rFonts w:ascii="Liberation Sans" w:hAnsi="Liberation Sans"/>
      <w:sz w:val="28"/>
    </w:rPr>
  </w:style>
  <w:style w:styleId="Style_12_ch" w:type="character">
    <w:name w:val="Заголовок"/>
    <w:basedOn w:val="Style_2_ch"/>
    <w:link w:val="Style_12"/>
    <w:rPr>
      <w:rFonts w:ascii="Liberation Sans" w:hAnsi="Liberation Sans"/>
      <w:sz w:val="28"/>
    </w:rPr>
  </w:style>
  <w:style w:styleId="Style_14" w:type="paragraph">
    <w:name w:val="Нижний колонтитул"/>
    <w:basedOn w:val="Style_2"/>
    <w:link w:val="Style_14_ch"/>
    <w:pPr>
      <w:tabs>
        <w:tab w:leader="none" w:pos="4677" w:val="center"/>
        <w:tab w:leader="none" w:pos="9355" w:val="right"/>
      </w:tabs>
      <w:ind/>
      <w:jc w:val="left"/>
    </w:pPr>
  </w:style>
  <w:style w:styleId="Style_14_ch" w:type="character">
    <w:name w:val="Нижний колонтитул"/>
    <w:basedOn w:val="Style_2_ch"/>
    <w:link w:val="Style_14"/>
  </w:style>
  <w:style w:styleId="Style_15" w:type="paragraph">
    <w:name w:val="ConsPlusNormal"/>
    <w:link w:val="Style_15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15_ch" w:type="character">
    <w:name w:val="ConsPlusNormal"/>
    <w:link w:val="Style_15"/>
    <w:rPr>
      <w:rFonts w:ascii="Times New Roman" w:hAnsi="Times New Roman"/>
      <w:color w:val="000000"/>
      <w:sz w:val="24"/>
    </w:rPr>
  </w:style>
  <w:style w:styleId="Style_1" w:type="paragraph">
    <w:name w:val="Верхний колонтитул"/>
    <w:basedOn w:val="Style_2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Верхний колонтитул"/>
    <w:basedOn w:val="Style_2_ch"/>
    <w:link w:val="Style_1"/>
  </w:style>
  <w:style w:styleId="Style_16" w:type="paragraph">
    <w:name w:val="ConsPlusTextList1"/>
    <w:link w:val="Style_16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16_ch" w:type="character">
    <w:name w:val="ConsPlusTextList1"/>
    <w:link w:val="Style_16"/>
    <w:rPr>
      <w:rFonts w:ascii="Times New Roman" w:hAnsi="Times New Roman"/>
      <w:color w:val="000000"/>
      <w:sz w:val="24"/>
    </w:rPr>
  </w:style>
  <w:style w:styleId="Style_17" w:type="paragraph">
    <w:name w:val="ConsPlusCell"/>
    <w:link w:val="Style_17_ch"/>
    <w:pPr>
      <w:widowControl w:val="0"/>
      <w:ind/>
      <w:jc w:val="left"/>
    </w:pPr>
    <w:rPr>
      <w:rFonts w:ascii="Courier New" w:hAnsi="Courier New"/>
      <w:color w:val="000000"/>
      <w:sz w:val="20"/>
    </w:rPr>
  </w:style>
  <w:style w:styleId="Style_17_ch" w:type="character">
    <w:name w:val="ConsPlusCell"/>
    <w:link w:val="Style_17"/>
    <w:rPr>
      <w:rFonts w:ascii="Courier New" w:hAnsi="Courier New"/>
      <w:color w:val="000000"/>
      <w:sz w:val="20"/>
    </w:rPr>
  </w:style>
  <w:style w:styleId="Style_13" w:type="paragraph">
    <w:name w:val="Основной текст"/>
    <w:basedOn w:val="Style_2"/>
    <w:link w:val="Style_13_ch"/>
    <w:pPr>
      <w:spacing w:after="140"/>
      <w:ind/>
      <w:jc w:val="left"/>
    </w:pPr>
  </w:style>
  <w:style w:styleId="Style_13_ch" w:type="character">
    <w:name w:val="Основной текст"/>
    <w:basedOn w:val="Style_2_ch"/>
    <w:link w:val="Style_13"/>
  </w:style>
  <w:style w:styleId="Style_18" w:type="paragraph">
    <w:name w:val="Содержимое таблицы"/>
    <w:basedOn w:val="Style_2"/>
    <w:link w:val="Style_18_ch"/>
    <w:pPr>
      <w:widowControl w:val="0"/>
      <w:ind/>
      <w:jc w:val="left"/>
    </w:pPr>
  </w:style>
  <w:style w:styleId="Style_18_ch" w:type="character">
    <w:name w:val="Содержимое таблицы"/>
    <w:basedOn w:val="Style_2_ch"/>
    <w:link w:val="Style_18"/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Список"/>
    <w:basedOn w:val="Style_13"/>
    <w:link w:val="Style_21_ch"/>
    <w:pPr>
      <w:ind/>
      <w:jc w:val="left"/>
    </w:pPr>
  </w:style>
  <w:style w:styleId="Style_21_ch" w:type="character">
    <w:name w:val="Список"/>
    <w:basedOn w:val="Style_13_ch"/>
    <w:link w:val="Style_21"/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ConsPlusJurTerm"/>
    <w:link w:val="Style_23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23_ch" w:type="character">
    <w:name w:val="ConsPlusJurTerm"/>
    <w:link w:val="Style_23"/>
    <w:rPr>
      <w:rFonts w:ascii="Times New Roman" w:hAnsi="Times New Roman"/>
      <w:color w:val="000000"/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ConsPlusNonformat"/>
    <w:link w:val="Style_28_ch"/>
    <w:pPr>
      <w:widowControl w:val="0"/>
      <w:ind/>
      <w:jc w:val="left"/>
    </w:pPr>
    <w:rPr>
      <w:rFonts w:ascii="Courier New" w:hAnsi="Courier New"/>
      <w:color w:val="000000"/>
      <w:sz w:val="20"/>
    </w:rPr>
  </w:style>
  <w:style w:styleId="Style_28_ch" w:type="character">
    <w:name w:val="ConsPlusNonformat"/>
    <w:link w:val="Style_28"/>
    <w:rPr>
      <w:rFonts w:ascii="Courier New" w:hAnsi="Courier New"/>
      <w:color w:val="000000"/>
      <w:sz w:val="20"/>
    </w:rPr>
  </w:style>
  <w:style w:styleId="Style_29" w:type="paragraph">
    <w:name w:val="Название"/>
    <w:basedOn w:val="Style_2"/>
    <w:link w:val="Style_29_ch"/>
    <w:pPr>
      <w:spacing w:after="120" w:before="120"/>
      <w:ind/>
      <w:jc w:val="left"/>
    </w:pPr>
    <w:rPr>
      <w:i w:val="1"/>
      <w:sz w:val="24"/>
    </w:rPr>
  </w:style>
  <w:style w:styleId="Style_29_ch" w:type="character">
    <w:name w:val="Название"/>
    <w:basedOn w:val="Style_2_ch"/>
    <w:link w:val="Style_29"/>
    <w:rPr>
      <w:i w:val="1"/>
      <w:sz w:val="24"/>
    </w:rPr>
  </w:style>
  <w:style w:styleId="Style_30" w:type="paragraph">
    <w:name w:val="Style4"/>
    <w:basedOn w:val="Style_2"/>
    <w:link w:val="Style_30_ch"/>
    <w:pPr>
      <w:widowControl w:val="0"/>
      <w:spacing w:line="328" w:lineRule="exact"/>
      <w:ind w:firstLine="684" w:left="0" w:right="0"/>
      <w:jc w:val="both"/>
    </w:pPr>
  </w:style>
  <w:style w:styleId="Style_30_ch" w:type="character">
    <w:name w:val="Style4"/>
    <w:basedOn w:val="Style_2_ch"/>
    <w:link w:val="Style_30"/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Колонтитул"/>
    <w:basedOn w:val="Style_2"/>
    <w:link w:val="Style_32_ch"/>
    <w:pPr>
      <w:ind/>
      <w:jc w:val="left"/>
    </w:pPr>
  </w:style>
  <w:style w:styleId="Style_32_ch" w:type="character">
    <w:name w:val="Колонтитул"/>
    <w:basedOn w:val="Style_2_ch"/>
    <w:link w:val="Style_32"/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Title"/>
    <w:link w:val="Style_34_ch"/>
    <w:pPr>
      <w:widowControl w:val="0"/>
      <w:ind/>
      <w:jc w:val="left"/>
    </w:pPr>
    <w:rPr>
      <w:rFonts w:ascii="Arial" w:hAnsi="Arial"/>
      <w:b w:val="1"/>
      <w:color w:val="000000"/>
      <w:sz w:val="24"/>
    </w:rPr>
  </w:style>
  <w:style w:styleId="Style_34_ch" w:type="character">
    <w:name w:val="ConsPlusTitle"/>
    <w:link w:val="Style_34"/>
    <w:rPr>
      <w:rFonts w:ascii="Arial" w:hAnsi="Arial"/>
      <w:b w:val="1"/>
      <w:color w:val="000000"/>
      <w:sz w:val="24"/>
    </w:rPr>
  </w:style>
  <w:style w:styleId="Style_35" w:type="paragraph">
    <w:name w:val="Верхний и нижний колонтитулы"/>
    <w:basedOn w:val="Style_2"/>
    <w:link w:val="Style_35_ch"/>
    <w:pPr>
      <w:ind/>
      <w:jc w:val="left"/>
    </w:pPr>
  </w:style>
  <w:style w:styleId="Style_35_ch" w:type="character">
    <w:name w:val="Верхний и нижний колонтитулы"/>
    <w:basedOn w:val="Style_2_ch"/>
    <w:link w:val="Style_35"/>
  </w:style>
  <w:style w:styleId="Style_36" w:type="paragraph">
    <w:name w:val="Указатель"/>
    <w:basedOn w:val="Style_2"/>
    <w:link w:val="Style_36_ch"/>
    <w:pPr>
      <w:ind/>
      <w:jc w:val="left"/>
    </w:pPr>
  </w:style>
  <w:style w:styleId="Style_36_ch" w:type="character">
    <w:name w:val="Указатель"/>
    <w:basedOn w:val="Style_2_ch"/>
    <w:link w:val="Style_36"/>
  </w:style>
  <w:style w:styleId="Style_37" w:type="paragraph">
    <w:name w:val="toc 5"/>
    <w:next w:val="Style_2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Верхний колонтитул Знак"/>
    <w:basedOn w:val="Style_9"/>
    <w:link w:val="Style_38_ch"/>
    <w:rPr>
      <w:rFonts w:ascii="Times New Roman" w:hAnsi="Times New Roman"/>
      <w:color w:val="000000"/>
      <w:sz w:val="24"/>
    </w:rPr>
  </w:style>
  <w:style w:styleId="Style_38_ch" w:type="character">
    <w:name w:val="Верхний колонтитул Знак"/>
    <w:basedOn w:val="Style_9_ch"/>
    <w:link w:val="Style_38"/>
    <w:rPr>
      <w:rFonts w:ascii="Times New Roman" w:hAnsi="Times New Roman"/>
      <w:color w:val="000000"/>
      <w:sz w:val="24"/>
    </w:rPr>
  </w:style>
  <w:style w:styleId="Style_39" w:type="paragraph">
    <w:name w:val="Интернет-ссылка"/>
    <w:link w:val="Style_39_ch"/>
    <w:rPr>
      <w:color w:val="000080"/>
      <w:u w:color="000000" w:val="single"/>
    </w:rPr>
  </w:style>
  <w:style w:styleId="Style_39_ch" w:type="character">
    <w:name w:val="Интернет-ссылка"/>
    <w:link w:val="Style_39"/>
    <w:rPr>
      <w:color w:val="000080"/>
      <w:u w:color="000000" w:val="single"/>
    </w:rPr>
  </w:style>
  <w:style w:styleId="Style_40" w:type="paragraph">
    <w:name w:val="Subtitle"/>
    <w:next w:val="Style_2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ConsPlusTextList"/>
    <w:link w:val="Style_41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41_ch" w:type="character">
    <w:name w:val="ConsPlusTextList"/>
    <w:link w:val="Style_41"/>
    <w:rPr>
      <w:rFonts w:ascii="Times New Roman" w:hAnsi="Times New Roman"/>
      <w:color w:val="000000"/>
      <w:sz w:val="24"/>
    </w:rPr>
  </w:style>
  <w:style w:styleId="Style_42" w:type="paragraph">
    <w:name w:val="Title"/>
    <w:next w:val="Style_2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2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ConsPlusTitlePage"/>
    <w:link w:val="Style_44_ch"/>
    <w:pPr>
      <w:widowControl w:val="0"/>
      <w:ind/>
      <w:jc w:val="left"/>
    </w:pPr>
    <w:rPr>
      <w:rFonts w:ascii="Tahoma" w:hAnsi="Tahoma"/>
      <w:color w:val="000000"/>
      <w:sz w:val="24"/>
    </w:rPr>
  </w:style>
  <w:style w:styleId="Style_44_ch" w:type="character">
    <w:name w:val="ConsPlusTitlePage"/>
    <w:link w:val="Style_44"/>
    <w:rPr>
      <w:rFonts w:ascii="Tahoma" w:hAnsi="Tahoma"/>
      <w:color w:val="000000"/>
      <w:sz w:val="24"/>
    </w:rPr>
  </w:style>
  <w:style w:styleId="Style_45" w:type="paragraph">
    <w:name w:val="Font Style11"/>
    <w:link w:val="Style_45_ch"/>
    <w:rPr>
      <w:rFonts w:ascii="Times New Roman" w:hAnsi="Times New Roman"/>
      <w:sz w:val="26"/>
    </w:rPr>
  </w:style>
  <w:style w:styleId="Style_45_ch" w:type="character">
    <w:name w:val="Font Style11"/>
    <w:link w:val="Style_45"/>
    <w:rPr>
      <w:rFonts w:ascii="Times New Roman" w:hAnsi="Times New Roman"/>
      <w:sz w:val="26"/>
    </w:rPr>
  </w:style>
  <w:style w:styleId="Style_46" w:type="paragraph">
    <w:name w:val="heading 2"/>
    <w:next w:val="Style_2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Заголовок таблицы"/>
    <w:basedOn w:val="Style_18"/>
    <w:link w:val="Style_47_ch"/>
    <w:pPr>
      <w:ind/>
      <w:jc w:val="center"/>
    </w:pPr>
    <w:rPr>
      <w:b w:val="1"/>
    </w:rPr>
  </w:style>
  <w:style w:styleId="Style_47_ch" w:type="character">
    <w:name w:val="Заголовок таблицы"/>
    <w:basedOn w:val="Style_18_ch"/>
    <w:link w:val="Style_47"/>
    <w:rPr>
      <w:b w:val="1"/>
    </w:r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2025-01-17T06:21:47Z</dcterms:modified>
</cp:coreProperties>
</file>